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Serif" w:hAnsi="NotoSerif" w:eastAsia="NotoSerif"/>
          <w:b w:val="0"/>
          <w:i w:val="0"/>
          <w:u w:val="none"/>
        </w:rPr>
        <w:t xml:space="preserve">Xác nhận cung ứng và giao hàng sản phẩm gốm sứ</w:t>
      </w:r>
    </w:p>
    <w:p>
      <w:r>
        <w:rPr>
          <w:rFonts w:ascii="NotoSerif" w:hAnsi="NotoSerif" w:eastAsia="NotoSerif"/>
          <w:b w:val="0"/>
          <w:i w:val="0"/>
          <w:u w:val="none"/>
        </w:rPr>
        <w:t xml:space="preserve">Cảm ơn quý khách đã gửi yêu cầu báo giá gần đây. Tài liệu này nhằm xác nhận chi tiết cung ứng, lịch giao hàng và điều khoản thanh toán cho đơn hàng sản phẩm gốm sứ quý khách sắp đặt mua. Trước khi chuyển sang xử lý đơn hàng chính thức, vui lòng kiểm tra kỹ mặt hàng, số lượng và báo giá trong bảng bên dưới để đảm bảo chính xác.</w:t>
      </w:r>
    </w:p>
    <w:p>
      <w:pPr>
        <w:pStyle w:val="Heading1"/>
      </w:pPr>
      <w:r>
        <w:rPr>
          <w:rFonts w:ascii="NotoSerif" w:hAnsi="NotoSerif" w:eastAsia="NotoSerif"/>
          <w:b w:val="0"/>
          <w:i w:val="0"/>
          <w:u w:val="none"/>
        </w:rPr>
        <w:t xml:space="preserve">I. Chi tiết quy cách sản phẩm và báo giá</w:t>
      </w:r>
    </w:p>
    <w:p>
      <w:r>
        <w:rPr>
          <w:rFonts w:ascii="NotoSerif" w:hAnsi="NotoSerif" w:eastAsia="NotoSerif"/>
          <w:b w:val="0"/>
          <w:i w:val="0"/>
          <w:u w:val="none"/>
        </w:rPr>
        <w:t xml:space="preserve">Bảng dưới đây liệt kê chi tiết các mặt hàng gốm sứ được giữ riêng cho quý khách trong lô hàng này. Tất cả đơn giá đều tính bằng đô la Mỹ (USD) và đã bao gồm chi phí đóng gói bảo vệ tiêu chuẩn cấp xuất khẩu nhằm tránh hư hỏng hàng dễ vỡ trong quá trình vận chuyển.</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37"/>
        <w:gridCol w:w="3528"/>
        <w:gridCol w:w="1267"/>
        <w:gridCol w:w="1512"/>
        <w:gridCol w:w="1584"/>
      </w:tblGrid>
      <w:tr>
        <w:tc>
          <w:tcPr>
            <w:tcW w:type="dxa" w:w="1037"/>
            <w:shd w:fill="DDEBF7"/>
          </w:tcPr>
          <w:p>
            <w:pPr>
              <w:spacing w:after="80" w:before="80"/>
            </w:pPr>
            <w:r>
              <w:rPr>
                <w:rFonts w:ascii="NotoSerif" w:hAnsi="NotoSerif" w:eastAsia="NotoSerif"/>
                <w:b/>
                <w:i w:val="0"/>
                <w:u w:val="none"/>
              </w:rPr>
              <w:t xml:space="preserve">Mã hàng</w:t>
            </w:r>
          </w:p>
        </w:tc>
        <w:tc>
          <w:tcPr>
            <w:tcW w:type="dxa" w:w="3528"/>
            <w:shd w:fill="DDEBF7"/>
          </w:tcPr>
          <w:p>
            <w:pPr>
              <w:spacing w:after="80" w:before="80"/>
            </w:pPr>
            <w:r>
              <w:rPr>
                <w:rFonts w:ascii="NotoSerif" w:hAnsi="NotoSerif" w:eastAsia="NotoSerif"/>
                <w:b/>
                <w:i w:val="0"/>
                <w:u w:val="none"/>
              </w:rPr>
              <w:t xml:space="preserve">Tên sản phẩm</w:t>
            </w:r>
          </w:p>
        </w:tc>
        <w:tc>
          <w:tcPr>
            <w:tcW w:type="dxa" w:w="1267"/>
            <w:shd w:fill="DDEBF7"/>
          </w:tcPr>
          <w:p>
            <w:pPr>
              <w:spacing w:after="80" w:before="80"/>
            </w:pPr>
            <w:r>
              <w:rPr>
                <w:rFonts w:ascii="NotoSerif" w:hAnsi="NotoSerif" w:eastAsia="NotoSerif"/>
                <w:b/>
                <w:i w:val="0"/>
                <w:u w:val="none"/>
              </w:rPr>
              <w:t xml:space="preserve">Số lượng</w:t>
            </w:r>
          </w:p>
        </w:tc>
        <w:tc>
          <w:tcPr>
            <w:tcW w:type="dxa" w:w="1512"/>
            <w:shd w:fill="DDEBF7"/>
          </w:tcPr>
          <w:p>
            <w:pPr>
              <w:spacing w:after="80" w:before="80"/>
            </w:pPr>
            <w:r>
              <w:rPr>
                <w:rFonts w:ascii="NotoSerif" w:hAnsi="NotoSerif" w:eastAsia="NotoSerif"/>
                <w:b/>
                <w:i w:val="0"/>
                <w:u w:val="none"/>
              </w:rPr>
              <w:t xml:space="preserve">Đơn giá (đô la Mỹ)</w:t>
            </w:r>
          </w:p>
        </w:tc>
        <w:tc>
          <w:tcPr>
            <w:tcW w:type="dxa" w:w="1584"/>
            <w:shd w:fill="DDEBF7"/>
          </w:tcPr>
          <w:p>
            <w:pPr>
              <w:spacing w:after="80" w:before="80"/>
            </w:pPr>
            <w:r>
              <w:rPr>
                <w:rFonts w:ascii="NotoSerif" w:hAnsi="NotoSerif" w:eastAsia="NotoSerif"/>
                <w:b/>
                <w:i w:val="0"/>
                <w:u w:val="none"/>
              </w:rPr>
              <w:t xml:space="preserve">Tổng giá (đô la Mỹ)</w:t>
            </w:r>
          </w:p>
        </w:tc>
      </w:tr>
      <w:tr>
        <w:tc>
          <w:tcPr>
            <w:tcW w:type="dxa" w:w="1037"/>
          </w:tcPr>
          <w:p>
            <w:pPr>
              <w:spacing w:after="80" w:before="80"/>
            </w:pPr>
            <w:r>
              <w:rPr>
                <w:rFonts w:ascii="NotoSerif" w:hAnsi="NotoSerif" w:eastAsia="NotoSerif"/>
                <w:b w:val="0"/>
                <w:i w:val="0"/>
                <w:u w:val="none"/>
              </w:rPr>
              <w:t xml:space="preserve">TC-101</w:t>
            </w:r>
          </w:p>
        </w:tc>
        <w:tc>
          <w:tcPr>
            <w:tcW w:type="dxa" w:w="3528"/>
          </w:tcPr>
          <w:p>
            <w:pPr>
              <w:spacing w:after="80" w:before="80"/>
            </w:pPr>
            <w:r>
              <w:rPr>
                <w:rFonts w:ascii="NotoSerif" w:hAnsi="NotoSerif" w:eastAsia="NotoSerif"/>
                <w:b w:val="0"/>
                <w:i w:val="0"/>
                <w:u w:val="none"/>
              </w:rPr>
              <w:t xml:space="preserve">Bộ đĩa ăn tráng men</w:t>
            </w:r>
          </w:p>
        </w:tc>
        <w:tc>
          <w:tcPr>
            <w:tcW w:type="dxa" w:w="1267"/>
          </w:tcPr>
          <w:p>
            <w:pPr>
              <w:spacing w:after="80" w:before="80"/>
            </w:pPr>
            <w:r>
              <w:rPr>
                <w:rFonts w:ascii="NotoSerif" w:hAnsi="NotoSerif" w:eastAsia="NotoSerif"/>
                <w:b w:val="0"/>
                <w:i w:val="0"/>
                <w:u w:val="none"/>
              </w:rPr>
              <w:t xml:space="preserve">500</w:t>
            </w:r>
          </w:p>
        </w:tc>
        <w:tc>
          <w:tcPr>
            <w:tcW w:type="dxa" w:w="1512"/>
          </w:tcPr>
          <w:p>
            <w:pPr>
              <w:spacing w:after="80" w:before="80"/>
            </w:pPr>
            <w:r>
              <w:rPr>
                <w:rFonts w:ascii="NotoSerif" w:hAnsi="NotoSerif" w:eastAsia="NotoSerif"/>
                <w:b w:val="0"/>
                <w:i w:val="0"/>
                <w:u w:val="none"/>
              </w:rPr>
              <w:t xml:space="preserve">6.50</w:t>
            </w:r>
          </w:p>
        </w:tc>
        <w:tc>
          <w:tcPr>
            <w:tcW w:type="dxa" w:w="1584"/>
          </w:tcPr>
          <w:p>
            <w:pPr>
              <w:spacing w:after="80" w:before="80"/>
            </w:pPr>
            <w:r>
              <w:rPr>
                <w:rFonts w:ascii="NotoSerif" w:hAnsi="NotoSerif" w:eastAsia="NotoSerif"/>
                <w:b w:val="0"/>
                <w:i w:val="0"/>
                <w:u w:val="none"/>
              </w:rPr>
              <w:t xml:space="preserve">3,250.00</w:t>
            </w:r>
          </w:p>
        </w:tc>
      </w:tr>
      <w:tr>
        <w:tc>
          <w:tcPr>
            <w:tcW w:type="dxa" w:w="1037"/>
          </w:tcPr>
          <w:p>
            <w:pPr>
              <w:spacing w:after="80" w:before="80"/>
            </w:pPr>
            <w:r>
              <w:rPr>
                <w:rFonts w:ascii="NotoSerif" w:hAnsi="NotoSerif" w:eastAsia="NotoSerif"/>
                <w:b w:val="0"/>
                <w:i w:val="0"/>
                <w:u w:val="none"/>
              </w:rPr>
              <w:t xml:space="preserve">TC-102</w:t>
            </w:r>
          </w:p>
        </w:tc>
        <w:tc>
          <w:tcPr>
            <w:tcW w:type="dxa" w:w="3528"/>
          </w:tcPr>
          <w:p>
            <w:pPr>
              <w:spacing w:after="80" w:before="80"/>
            </w:pPr>
            <w:r>
              <w:rPr>
                <w:rFonts w:ascii="NotoSerif" w:hAnsi="NotoSerif" w:eastAsia="NotoSerif"/>
                <w:b w:val="0"/>
                <w:i w:val="0"/>
                <w:u w:val="none"/>
              </w:rPr>
              <w:t xml:space="preserve">Bộ ấm trà sứ trắng thủ công</w:t>
            </w:r>
          </w:p>
        </w:tc>
        <w:tc>
          <w:tcPr>
            <w:tcW w:type="dxa" w:w="1267"/>
          </w:tcPr>
          <w:p>
            <w:pPr>
              <w:spacing w:after="80" w:before="80"/>
            </w:pPr>
            <w:r>
              <w:rPr>
                <w:rFonts w:ascii="NotoSerif" w:hAnsi="NotoSerif" w:eastAsia="NotoSerif"/>
                <w:b w:val="0"/>
                <w:i w:val="0"/>
                <w:u w:val="none"/>
              </w:rPr>
              <w:t xml:space="preserve">200</w:t>
            </w:r>
          </w:p>
        </w:tc>
        <w:tc>
          <w:tcPr>
            <w:tcW w:type="dxa" w:w="1512"/>
          </w:tcPr>
          <w:p>
            <w:pPr>
              <w:spacing w:after="80" w:before="80"/>
            </w:pPr>
            <w:r>
              <w:rPr>
                <w:rFonts w:ascii="NotoSerif" w:hAnsi="NotoSerif" w:eastAsia="NotoSerif"/>
                <w:b w:val="0"/>
                <w:i w:val="0"/>
                <w:u w:val="none"/>
              </w:rPr>
              <w:t xml:space="preserve">17.50</w:t>
            </w:r>
          </w:p>
        </w:tc>
        <w:tc>
          <w:tcPr>
            <w:tcW w:type="dxa" w:w="1584"/>
          </w:tcPr>
          <w:p>
            <w:pPr>
              <w:spacing w:after="80" w:before="80"/>
            </w:pPr>
            <w:r>
              <w:rPr>
                <w:rFonts w:ascii="NotoSerif" w:hAnsi="NotoSerif" w:eastAsia="NotoSerif"/>
                <w:b w:val="0"/>
                <w:i w:val="0"/>
                <w:u w:val="none"/>
              </w:rPr>
              <w:t xml:space="preserve">3,500.00</w:t>
            </w:r>
          </w:p>
        </w:tc>
      </w:tr>
      <w:tr>
        <w:tc>
          <w:tcPr>
            <w:tcW w:type="dxa" w:w="1037"/>
          </w:tcPr>
          <w:p>
            <w:pPr>
              <w:spacing w:after="80" w:before="80"/>
            </w:pPr>
            <w:r>
              <w:rPr>
                <w:rFonts w:ascii="NotoSerif" w:hAnsi="NotoSerif" w:eastAsia="NotoSerif"/>
                <w:b w:val="0"/>
                <w:i w:val="0"/>
                <w:u w:val="none"/>
              </w:rPr>
              <w:t xml:space="preserve">TC-103</w:t>
            </w:r>
          </w:p>
        </w:tc>
        <w:tc>
          <w:tcPr>
            <w:tcW w:type="dxa" w:w="3528"/>
          </w:tcPr>
          <w:p>
            <w:pPr>
              <w:spacing w:after="80" w:before="80"/>
            </w:pPr>
            <w:r>
              <w:rPr>
                <w:rFonts w:ascii="NotoSerif" w:hAnsi="NotoSerif" w:eastAsia="NotoSerif"/>
                <w:b w:val="0"/>
                <w:i w:val="0"/>
                <w:u w:val="none"/>
              </w:rPr>
              <w:t xml:space="preserve">Bình hoa kiểu dáng tối giản</w:t>
            </w:r>
          </w:p>
        </w:tc>
        <w:tc>
          <w:tcPr>
            <w:tcW w:type="dxa" w:w="1267"/>
          </w:tcPr>
          <w:p>
            <w:pPr>
              <w:spacing w:after="80" w:before="80"/>
            </w:pPr>
            <w:r>
              <w:rPr>
                <w:rFonts w:ascii="NotoSerif" w:hAnsi="NotoSerif" w:eastAsia="NotoSerif"/>
                <w:b w:val="0"/>
                <w:i w:val="0"/>
                <w:u w:val="none"/>
              </w:rPr>
              <w:t xml:space="preserve">150</w:t>
            </w:r>
          </w:p>
        </w:tc>
        <w:tc>
          <w:tcPr>
            <w:tcW w:type="dxa" w:w="1512"/>
          </w:tcPr>
          <w:p>
            <w:pPr>
              <w:spacing w:after="80" w:before="80"/>
            </w:pPr>
            <w:r>
              <w:rPr>
                <w:rFonts w:ascii="NotoSerif" w:hAnsi="NotoSerif" w:eastAsia="NotoSerif"/>
                <w:b w:val="0"/>
                <w:i w:val="0"/>
                <w:u w:val="none"/>
              </w:rPr>
              <w:t xml:space="preserve">12.00</w:t>
            </w:r>
          </w:p>
        </w:tc>
        <w:tc>
          <w:tcPr>
            <w:tcW w:type="dxa" w:w="1584"/>
          </w:tcPr>
          <w:p>
            <w:pPr>
              <w:spacing w:after="80" w:before="80"/>
            </w:pPr>
            <w:r>
              <w:rPr>
                <w:rFonts w:ascii="NotoSerif" w:hAnsi="NotoSerif" w:eastAsia="NotoSerif"/>
                <w:b w:val="0"/>
                <w:i w:val="0"/>
                <w:u w:val="none"/>
              </w:rPr>
              <w:t xml:space="preserve">1,800.00</w:t>
            </w:r>
          </w:p>
        </w:tc>
      </w:tr>
    </w:tbl>
    <w:p>
      <w:r>
        <w:rPr>
          <w:rFonts w:ascii="NotoSerif" w:hAnsi="NotoSerif" w:eastAsia="NotoSerif"/>
          <w:b w:val="0"/>
          <w:i/>
          <w:u w:val="none"/>
        </w:rPr>
        <w:t xml:space="preserve">Lưu ý: Tổng giá trị đơn hàng này là 8,550.00 đô la Mỹ. Nếu cần in logo thương hiệu theo yêu cầu hoặc dán thêm nhãn bán lẻ chuyên dụng, chúng tôi sẽ tính một khoản phụ phí nhỏ tùy theo yêu cầu.</w:t>
      </w:r>
    </w:p>
    <w:p>
      <w:pPr>
        <w:pStyle w:val="Heading1"/>
      </w:pPr>
      <w:r>
        <w:rPr>
          <w:rFonts w:ascii="NotoSerif" w:hAnsi="NotoSerif" w:eastAsia="NotoSerif"/>
          <w:b w:val="0"/>
          <w:i w:val="0"/>
          <w:u w:val="none"/>
        </w:rPr>
        <w:t xml:space="preserve">II. Tiêu chuẩn đóng gói và lịch giao hàng</w:t>
      </w:r>
    </w:p>
    <w:p>
      <w:r>
        <w:rPr>
          <w:rFonts w:ascii="NotoSerif" w:hAnsi="NotoSerif" w:eastAsia="NotoSerif"/>
          <w:b w:val="0"/>
          <w:i w:val="0"/>
          <w:u w:val="none"/>
        </w:rPr>
        <w:t xml:space="preserve">Để đảm bảo hàng hóa dễ vỡ được giao đến nơi an toàn, chúng tôi đã bố trí các tiêu chuẩn đóng gói và hậu cần sau:</w:t>
      </w:r>
    </w:p>
    <w:p>
      <w:pPr>
        <w:pStyle w:val="ListBullet"/>
      </w:pPr>
      <w:r>
        <w:rPr>
          <w:rFonts w:ascii="NotoSerif" w:hAnsi="NotoSerif" w:eastAsia="NotoSerif"/>
          <w:b/>
          <w:i w:val="0"/>
          <w:u w:val="none"/>
        </w:rPr>
        <w:t xml:space="preserve">Đóng gói chống hư hỏng</w:t>
      </w:r>
      <w:r>
        <w:rPr>
          <w:rFonts w:ascii="NotoSerif" w:hAnsi="NotoSerif" w:eastAsia="NotoSerif"/>
          <w:b w:val="0"/>
          <w:i w:val="0"/>
          <w:u w:val="none"/>
        </w:rPr>
        <w:t xml:space="preserve">：Mỗi sản phẩm sẽ được đóng riêng trong </w:t>
      </w:r>
      <w:r>
        <w:rPr>
          <w:rFonts w:ascii="NotoSerif" w:hAnsi="NotoSerif" w:eastAsia="NotoSerif"/>
          <w:b w:val="0"/>
          <w:i w:val="0"/>
          <w:color w:val="005C4D"/>
          <w:u w:val="single"/>
        </w:rPr>
        <w:t xml:space="preserve">thùng carton sóng năm lớp gia cố</w:t>
      </w:r>
      <w:r>
        <w:rPr>
          <w:rFonts w:ascii="NotoSerif" w:hAnsi="NotoSerif" w:eastAsia="NotoSerif"/>
          <w:b w:val="0"/>
          <w:i w:val="0"/>
          <w:u w:val="none"/>
        </w:rPr>
        <w:t xml:space="preserve"> và có xốp giảm chấn đặt làm riêng.</w:t>
      </w:r>
    </w:p>
    <w:p>
      <w:pPr>
        <w:pStyle w:val="ListBullet"/>
      </w:pPr>
      <w:r>
        <w:rPr>
          <w:rFonts w:ascii="NotoSerif" w:hAnsi="NotoSerif" w:eastAsia="NotoSerif"/>
          <w:b/>
          <w:i w:val="0"/>
          <w:u w:val="none"/>
        </w:rPr>
        <w:t xml:space="preserve">Điều khoản vận tải biển</w:t>
      </w:r>
      <w:r>
        <w:rPr>
          <w:rFonts w:ascii="NotoSerif" w:hAnsi="NotoSerif" w:eastAsia="NotoSerif"/>
          <w:b w:val="0"/>
          <w:i w:val="0"/>
          <w:u w:val="none"/>
        </w:rPr>
        <w:t xml:space="preserve">：Giao dịch này được thực hiện theo điều khoản FOB Cảng Thâm Quyến (FOB Shenzhen Port) tiêu chuẩn。</w:t>
      </w:r>
    </w:p>
    <w:p>
      <w:pPr>
        <w:pStyle w:val="ListBullet"/>
      </w:pPr>
      <w:r>
        <w:rPr>
          <w:rFonts w:ascii="NotoSerif" w:hAnsi="NotoSerif" w:eastAsia="NotoSerif"/>
          <w:b/>
          <w:i w:val="0"/>
          <w:u w:val="none"/>
        </w:rPr>
        <w:t xml:space="preserve">Thời gian chuẩn bị hàng</w:t>
      </w:r>
      <w:r>
        <w:rPr>
          <w:rFonts w:ascii="NotoSerif" w:hAnsi="NotoSerif" w:eastAsia="NotoSerif"/>
          <w:b w:val="0"/>
          <w:i w:val="0"/>
          <w:u w:val="none"/>
        </w:rPr>
        <w:t xml:space="preserve">：Sau khi nhận được xác nhận của quý khách, hàng hóa sẽ được giao đến cảng xuất khẩu được chỉ định trong vòng </w:t>
      </w:r>
      <w:r>
        <w:rPr>
          <w:rFonts w:ascii="NotoSerif" w:hAnsi="NotoSerif" w:eastAsia="NotoSerif"/>
          <w:b/>
          <w:i w:val="0"/>
          <w:u w:val="none"/>
        </w:rPr>
        <w:t xml:space="preserve">10 ngày làm việc</w:t>
      </w:r>
      <w:r>
        <w:rPr>
          <w:rFonts w:ascii="NotoSerif" w:hAnsi="NotoSerif" w:eastAsia="NotoSerif"/>
          <w:b w:val="0"/>
          <w:i w:val="0"/>
          <w:u w:val="none"/>
        </w:rPr>
        <w:t xml:space="preserve">。</w:t>
      </w:r>
    </w:p>
    <w:p>
      <w:pPr>
        <w:pStyle w:val="ListBullet"/>
      </w:pPr>
      <w:r>
        <w:rPr>
          <w:rFonts w:ascii="NotoSerif" w:hAnsi="NotoSerif" w:eastAsia="NotoSerif"/>
          <w:b/>
          <w:i w:val="0"/>
          <w:u w:val="none"/>
        </w:rPr>
        <w:t xml:space="preserve">Kiểm tra tại nhà máy</w:t>
      </w:r>
      <w:r>
        <w:rPr>
          <w:rFonts w:ascii="NotoSerif" w:hAnsi="NotoSerif" w:eastAsia="NotoSerif"/>
          <w:b w:val="0"/>
          <w:i w:val="0"/>
          <w:u w:val="none"/>
        </w:rPr>
        <w:t xml:space="preserve">：Trước khi đóng thùng, chúng tôi sẽ cung cấp báo cáo kiểm tra trước khi giao hàng kèm ảnh chụp thực tế。</w:t>
      </w:r>
    </w:p>
    <w:p>
      <w:pPr>
        <w:pStyle w:val="Heading1"/>
      </w:pPr>
      <w:r>
        <w:rPr>
          <w:rFonts w:ascii="NotoSerif" w:hAnsi="NotoSerif" w:eastAsia="NotoSerif"/>
          <w:b w:val="0"/>
          <w:i w:val="0"/>
          <w:u w:val="none"/>
        </w:rPr>
        <w:t xml:space="preserve">III. Tiến độ thanh toán và các bước tiếp theo</w:t>
      </w:r>
    </w:p>
    <w:p>
      <w:r>
        <w:rPr>
          <w:rFonts w:ascii="NotoSerif" w:hAnsi="NotoSerif" w:eastAsia="NotoSerif"/>
          <w:b w:val="0"/>
          <w:i w:val="0"/>
          <w:u w:val="none"/>
        </w:rPr>
        <w:t xml:space="preserve">Để xác nhận đơn hàng và giữ lịch sản xuất, vui lòng thanh toán theo tiến độ sau:</w:t>
      </w:r>
    </w:p>
    <w:p>
      <w:pPr>
        <w:pStyle w:val="ListNumber"/>
      </w:pPr>
      <w:r>
        <w:rPr>
          <w:rFonts w:ascii="NotoSerif" w:hAnsi="NotoSerif" w:eastAsia="NotoSerif"/>
          <w:b w:val="0"/>
          <w:i w:val="0"/>
          <w:u w:val="none"/>
        </w:rPr>
        <w:t xml:space="preserve">Vui lòng thanh toán trước khoản đặt cọc bằng 30% tổng giá trị đơn hàng (tức 2,565.00 đô la Mỹ) trước khi bắt đầu sản xuất và chuẩn bị hàng.</w:t>
      </w:r>
    </w:p>
    <w:p>
      <w:pPr>
        <w:pStyle w:val="ListNumber"/>
      </w:pPr>
      <w:r>
        <w:rPr>
          <w:rFonts w:ascii="NotoSerif" w:hAnsi="NotoSerif" w:eastAsia="NotoSerif"/>
          <w:b w:val="0"/>
          <w:i w:val="0"/>
          <w:u w:val="none"/>
        </w:rPr>
        <w:t xml:space="preserve">Vui lòng thanh toán hết 70% còn lại (tức 5,985.00 đô la Mỹ) trong vòng </w:t>
      </w:r>
      <w:r>
        <w:rPr>
          <w:rFonts w:ascii="NotoSerif" w:hAnsi="NotoSerif" w:eastAsia="NotoSerif"/>
          <w:b/>
          <w:i w:val="0"/>
          <w:u w:val="none"/>
        </w:rPr>
        <w:t xml:space="preserve">5 ngày kể từ khi nhận được bản sao vận đơn (B/L)</w:t>
      </w:r>
      <w:r>
        <w:rPr>
          <w:rFonts w:ascii="NotoSerif" w:hAnsi="NotoSerif" w:eastAsia="NotoSerif"/>
          <w:b w:val="0"/>
          <w:i w:val="0"/>
          <w:u w:val="none"/>
        </w:rPr>
        <w:t xml:space="preserve">。</w:t>
      </w:r>
    </w:p>
    <w:p>
      <w:r>
        <w:rPr>
          <w:rFonts w:ascii="NotoSerif" w:hAnsi="NotoSerif" w:eastAsia="NotoSerif"/>
          <w:b w:val="0"/>
          <w:i w:val="0"/>
          <w:u w:val="none"/>
        </w:rPr>
        <w:t xml:space="preserve">Nếu các điều khoản nêu trên đều chính xác, vui lòng phản hồi “Đồng ý xác nhận” trước </w:t>
      </w:r>
      <w:r>
        <w:rPr>
          <w:rFonts w:ascii="NotoSerif" w:hAnsi="NotoSerif" w:eastAsia="NotoSerif"/>
          <w:b/>
          <w:i w:val="0"/>
          <w:u w:val="none"/>
        </w:rPr>
        <w:t xml:space="preserve">5 giờ chiều thứ Sáu tuần này</w:t>
      </w:r>
      <w:r>
        <w:rPr>
          <w:rFonts w:ascii="NotoSerif" w:hAnsi="NotoSerif" w:eastAsia="NotoSerif"/>
          <w:b w:val="0"/>
          <w:i w:val="0"/>
          <w:u w:val="none"/>
        </w:rPr>
        <w:t xml:space="preserve">. Sau khi nhận được xác nhận, đội ngũ của chúng tôi sẽ lập tức giữ hàng tồn kho và bắt đầu quy trình đóng gói, giao hàng.</w:t>
      </w:r>
    </w:p>
    <w:p>
      <w:r>
        <w:rPr>
          <w:rFonts w:ascii="NotoSerif" w:hAnsi="NotoSerif" w:eastAsia="NotoSerif"/>
          <w:b w:val="0"/>
          <w:i w:val="0"/>
          <w:u w:val="none"/>
        </w:rPr>
        <w:t xml:space="preserve">Kính chúc quý khách kinh doanh phát đạt,</w:t>
      </w:r>
    </w:p>
    <w:p>
      <w:r>
        <w:rPr>
          <w:rFonts w:ascii="NotoSerif" w:hAnsi="NotoSerif" w:eastAsia="NotoSerif"/>
          <w:b w:val="0"/>
          <w:i w:val="0"/>
          <w:u w:val="none"/>
        </w:rPr>
        <w:t xml:space="preserve">Đội ngũ Equalang</w:t>
      </w:r>
    </w:p>
    <w:sectPr w:rsidR="00FC693F" w:rsidRPr="0006063C" w:rsidSect="00034616">
      <w:headerReference w:type="default" r:id="rId9"/>
      <w:footerReference w:type="default" r:id="rId10"/>
      <w:pgSz w:w="11909" w:h="16834"/>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NotoSerif" w:hAnsi="NotoSerif" w:eastAsia="NotoSerif"/>
        <w:sz w:val="16"/>
      </w:rPr>
      <w:t xml:space="preserve">Tài liệu minh họa giả lập - Không phải chứng từ giao dịch thực tế</w:t>
    </w:r>
    <w:r>
      <w:rPr>
        <w:rFonts w:ascii="NotoSerif" w:hAnsi="NotoSerif" w:eastAsia="NotoSerif"/>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NotoSerif" w:hAnsi="NotoSerif" w:eastAsia="NotoSerif"/>
        <w:sz w:val="16"/>
      </w:rPr>
      <w:t xml:space="preserve">Đội ngũ Equalang - Xác nhận cung ứng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80"/>
    </w:pPr>
    <w:rPr>
      <w:rFonts w:ascii="Arial Unicode MS" w:hAnsi="Arial Unicode MS" w:eastAsia="Arial Unicode M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line="240" w:lineRule="auto"/>
      <w:outlineLvl w:val="0"/>
    </w:pPr>
    <w:rPr>
      <w:rFonts w:asciiTheme="majorHAnsi" w:eastAsiaTheme="majorEastAsia" w:hAnsiTheme="majorHAnsi" w:cstheme="majorBidi" w:ascii="Arial Unicode MS" w:hAnsi="Arial Unicode MS" w:eastAsia="Arial Unicode MS"/>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Arial Unicode MS" w:hAnsi="Arial Unicode MS" w:eastAsia="Arial Unicode MS"/>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40"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40" w:lineRule="auto"/>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陶瓷产品供货与发货确认单</dc:title>
  <dc:subject/>
  <dc:creator>Equalang</dc:creator>
  <cp:keywords/>
  <dc:description>本文档由 Equalang AI 翻译（equalang.com）生成，内容仅供参考。
This document was translated by Equalang AI (equalang.com) and is for informational purposes only.</dc:description>
  <cp:lastModifiedBy>Equalang</cp:lastModifiedBy>
  <cp:revision>1</cp:revision>
  <dcterms:created xsi:type="dcterms:W3CDTF">2013-12-23T23:15:00Z</dcterms:created>
  <dcterms:modified xsi:type="dcterms:W3CDTF">2013-12-23T23:15:00Z</dcterms:modified>
  <cp:category/>
</cp:coreProperties>
</file>