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Serif" w:hAnsi="NotoSerif" w:eastAsia="NotoSerif"/>
          <w:b w:val="0"/>
          <w:i w:val="0"/>
          <w:u w:val="none"/>
        </w:rPr>
        <w:t xml:space="preserve">Seramik Ürün Tedarik ve Sevkiyat Onay Formu</w:t>
      </w:r>
    </w:p>
    <w:p>
      <w:r>
        <w:rPr>
          <w:rFonts w:ascii="NotoSerif" w:hAnsi="NotoSerif" w:eastAsia="NotoSerif"/>
          <w:b w:val="0"/>
          <w:i w:val="0"/>
          <w:u w:val="none"/>
        </w:rPr>
        <w:t xml:space="preserve">Son dönemdeki fiyat talebiniz için teşekkür ederiz. Bu belge, satın almayı planladığınız seramik ürün siparişinin tedarik ayrıntılarını, teslimat takvimini ve ödeme koşullarını teyit etmek amacıyla hazırlanmıştır. Nihai sipariş işlemlerine geçmeden önce lütfen aşağıdaki tablodaki ürünlerin, miktarların ve fiyat tekliflerinin doğruluğunu kontrol edin.</w:t>
      </w:r>
    </w:p>
    <w:p>
      <w:pPr>
        <w:pStyle w:val="Heading1"/>
      </w:pPr>
      <w:r>
        <w:rPr>
          <w:rFonts w:ascii="NotoSerif" w:hAnsi="NotoSerif" w:eastAsia="NotoSerif"/>
          <w:b w:val="0"/>
          <w:i w:val="0"/>
          <w:u w:val="none"/>
        </w:rPr>
        <w:t xml:space="preserve">I. Ürün Özellikleri ve Fiyat Teklifi Ayrıntıları</w:t>
      </w:r>
    </w:p>
    <w:p>
      <w:r>
        <w:rPr>
          <w:rFonts w:ascii="NotoSerif" w:hAnsi="NotoSerif" w:eastAsia="NotoSerif"/>
          <w:b w:val="0"/>
          <w:i w:val="0"/>
          <w:u w:val="none"/>
        </w:rPr>
        <w:t xml:space="preserve">Aşağıdaki tabloda bu parti için adınıza ayrılan seramik ürünlerin ayrıntıları listelenmiştir. Tüm birim fiyatlar ABD doları (USD) cinsindendir ve kırılabilir ürünlerin nakliye sırasında hasar görmesini önlemek için standart ihracat sınıfı koruyucu ambalaj ücretini içerir.</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3528"/>
        <w:gridCol w:w="1267"/>
        <w:gridCol w:w="1512"/>
        <w:gridCol w:w="1584"/>
      </w:tblGrid>
      <w:tr>
        <w:tc>
          <w:tcPr>
            <w:tcW w:type="dxa" w:w="1037"/>
            <w:shd w:fill="DDEBF7"/>
          </w:tcPr>
          <w:p>
            <w:pPr>
              <w:spacing w:after="80" w:before="80"/>
            </w:pPr>
            <w:r>
              <w:rPr>
                <w:rFonts w:ascii="NotoSerif" w:hAnsi="NotoSerif" w:eastAsia="NotoSerif"/>
                <w:b/>
                <w:i w:val="0"/>
                <w:u w:val="none"/>
              </w:rPr>
              <w:t xml:space="preserve">Ürün Kodu</w:t>
            </w:r>
          </w:p>
        </w:tc>
        <w:tc>
          <w:tcPr>
            <w:tcW w:type="dxa" w:w="3528"/>
            <w:shd w:fill="DDEBF7"/>
          </w:tcPr>
          <w:p>
            <w:pPr>
              <w:spacing w:after="80" w:before="80"/>
            </w:pPr>
            <w:r>
              <w:rPr>
                <w:rFonts w:ascii="NotoSerif" w:hAnsi="NotoSerif" w:eastAsia="NotoSerif"/>
                <w:b/>
                <w:i w:val="0"/>
                <w:u w:val="none"/>
              </w:rPr>
              <w:t xml:space="preserve">Ürün Adı</w:t>
            </w:r>
          </w:p>
        </w:tc>
        <w:tc>
          <w:tcPr>
            <w:tcW w:type="dxa" w:w="1267"/>
            <w:shd w:fill="DDEBF7"/>
          </w:tcPr>
          <w:p>
            <w:pPr>
              <w:spacing w:after="80" w:before="80"/>
            </w:pPr>
            <w:r>
              <w:rPr>
                <w:rFonts w:ascii="NotoSerif" w:hAnsi="NotoSerif" w:eastAsia="NotoSerif"/>
                <w:b/>
                <w:i w:val="0"/>
                <w:u w:val="none"/>
              </w:rPr>
              <w:t xml:space="preserve">Miktar</w:t>
            </w:r>
          </w:p>
        </w:tc>
        <w:tc>
          <w:tcPr>
            <w:tcW w:type="dxa" w:w="1512"/>
            <w:shd w:fill="DDEBF7"/>
          </w:tcPr>
          <w:p>
            <w:pPr>
              <w:spacing w:after="80" w:before="80"/>
            </w:pPr>
            <w:r>
              <w:rPr>
                <w:rFonts w:ascii="NotoSerif" w:hAnsi="NotoSerif" w:eastAsia="NotoSerif"/>
                <w:b/>
                <w:i w:val="0"/>
                <w:u w:val="none"/>
              </w:rPr>
              <w:t xml:space="preserve">Birim Fiyat (ABD doları)</w:t>
            </w:r>
          </w:p>
        </w:tc>
        <w:tc>
          <w:tcPr>
            <w:tcW w:type="dxa" w:w="1584"/>
            <w:shd w:fill="DDEBF7"/>
          </w:tcPr>
          <w:p>
            <w:pPr>
              <w:spacing w:after="80" w:before="80"/>
            </w:pPr>
            <w:r>
              <w:rPr>
                <w:rFonts w:ascii="NotoSerif" w:hAnsi="NotoSerif" w:eastAsia="NotoSerif"/>
                <w:b/>
                <w:i w:val="0"/>
                <w:u w:val="none"/>
              </w:rPr>
              <w:t xml:space="preserve">Toplam Fiyat (ABD doları)</w:t>
            </w:r>
          </w:p>
        </w:tc>
      </w:tr>
      <w:tr>
        <w:tc>
          <w:tcPr>
            <w:tcW w:type="dxa" w:w="1037"/>
          </w:tcPr>
          <w:p>
            <w:pPr>
              <w:spacing w:after="80" w:before="80"/>
            </w:pPr>
            <w:r>
              <w:rPr>
                <w:rFonts w:ascii="NotoSerif" w:hAnsi="NotoSerif" w:eastAsia="NotoSerif"/>
                <w:b w:val="0"/>
                <w:i w:val="0"/>
                <w:u w:val="none"/>
              </w:rPr>
              <w:t xml:space="preserve">TC-101</w:t>
            </w:r>
          </w:p>
        </w:tc>
        <w:tc>
          <w:tcPr>
            <w:tcW w:type="dxa" w:w="3528"/>
          </w:tcPr>
          <w:p>
            <w:pPr>
              <w:spacing w:after="80" w:before="80"/>
            </w:pPr>
            <w:r>
              <w:rPr>
                <w:rFonts w:ascii="NotoSerif" w:hAnsi="NotoSerif" w:eastAsia="NotoSerif"/>
                <w:b w:val="0"/>
                <w:i w:val="0"/>
                <w:u w:val="none"/>
              </w:rPr>
              <w:t xml:space="preserve">Sırlı yemek tabağı seti</w:t>
            </w:r>
          </w:p>
        </w:tc>
        <w:tc>
          <w:tcPr>
            <w:tcW w:type="dxa" w:w="1267"/>
          </w:tcPr>
          <w:p>
            <w:pPr>
              <w:spacing w:after="80" w:before="80"/>
            </w:pPr>
            <w:r>
              <w:rPr>
                <w:rFonts w:ascii="NotoSerif" w:hAnsi="NotoSerif" w:eastAsia="NotoSerif"/>
                <w:b w:val="0"/>
                <w:i w:val="0"/>
                <w:u w:val="none"/>
              </w:rPr>
              <w:t xml:space="preserve">500</w:t>
            </w:r>
          </w:p>
        </w:tc>
        <w:tc>
          <w:tcPr>
            <w:tcW w:type="dxa" w:w="1512"/>
          </w:tcPr>
          <w:p>
            <w:pPr>
              <w:spacing w:after="80" w:before="80"/>
            </w:pPr>
            <w:r>
              <w:rPr>
                <w:rFonts w:ascii="NotoSerif" w:hAnsi="NotoSerif" w:eastAsia="NotoSerif"/>
                <w:b w:val="0"/>
                <w:i w:val="0"/>
                <w:u w:val="none"/>
              </w:rPr>
              <w:t xml:space="preserve">6.50</w:t>
            </w:r>
          </w:p>
        </w:tc>
        <w:tc>
          <w:tcPr>
            <w:tcW w:type="dxa" w:w="1584"/>
          </w:tcPr>
          <w:p>
            <w:pPr>
              <w:spacing w:after="80" w:before="80"/>
            </w:pPr>
            <w:r>
              <w:rPr>
                <w:rFonts w:ascii="NotoSerif" w:hAnsi="NotoSerif" w:eastAsia="NotoSerif"/>
                <w:b w:val="0"/>
                <w:i w:val="0"/>
                <w:u w:val="none"/>
              </w:rPr>
              <w:t xml:space="preserve">3,250.00</w:t>
            </w:r>
          </w:p>
        </w:tc>
      </w:tr>
      <w:tr>
        <w:tc>
          <w:tcPr>
            <w:tcW w:type="dxa" w:w="1037"/>
          </w:tcPr>
          <w:p>
            <w:pPr>
              <w:spacing w:after="80" w:before="80"/>
            </w:pPr>
            <w:r>
              <w:rPr>
                <w:rFonts w:ascii="NotoSerif" w:hAnsi="NotoSerif" w:eastAsia="NotoSerif"/>
                <w:b w:val="0"/>
                <w:i w:val="0"/>
                <w:u w:val="none"/>
              </w:rPr>
              <w:t xml:space="preserve">TC-102</w:t>
            </w:r>
          </w:p>
        </w:tc>
        <w:tc>
          <w:tcPr>
            <w:tcW w:type="dxa" w:w="3528"/>
          </w:tcPr>
          <w:p>
            <w:pPr>
              <w:spacing w:after="80" w:before="80"/>
            </w:pPr>
            <w:r>
              <w:rPr>
                <w:rFonts w:ascii="NotoSerif" w:hAnsi="NotoSerif" w:eastAsia="NotoSerif"/>
                <w:b w:val="0"/>
                <w:i w:val="0"/>
                <w:u w:val="none"/>
              </w:rPr>
              <w:t xml:space="preserve">El yapımı beyaz porselen çay takımı</w:t>
            </w:r>
          </w:p>
        </w:tc>
        <w:tc>
          <w:tcPr>
            <w:tcW w:type="dxa" w:w="1267"/>
          </w:tcPr>
          <w:p>
            <w:pPr>
              <w:spacing w:after="80" w:before="80"/>
            </w:pPr>
            <w:r>
              <w:rPr>
                <w:rFonts w:ascii="NotoSerif" w:hAnsi="NotoSerif" w:eastAsia="NotoSerif"/>
                <w:b w:val="0"/>
                <w:i w:val="0"/>
                <w:u w:val="none"/>
              </w:rPr>
              <w:t xml:space="preserve">200</w:t>
            </w:r>
          </w:p>
        </w:tc>
        <w:tc>
          <w:tcPr>
            <w:tcW w:type="dxa" w:w="1512"/>
          </w:tcPr>
          <w:p>
            <w:pPr>
              <w:spacing w:after="80" w:before="80"/>
            </w:pPr>
            <w:r>
              <w:rPr>
                <w:rFonts w:ascii="NotoSerif" w:hAnsi="NotoSerif" w:eastAsia="NotoSerif"/>
                <w:b w:val="0"/>
                <w:i w:val="0"/>
                <w:u w:val="none"/>
              </w:rPr>
              <w:t xml:space="preserve">17.50</w:t>
            </w:r>
          </w:p>
        </w:tc>
        <w:tc>
          <w:tcPr>
            <w:tcW w:type="dxa" w:w="1584"/>
          </w:tcPr>
          <w:p>
            <w:pPr>
              <w:spacing w:after="80" w:before="80"/>
            </w:pPr>
            <w:r>
              <w:rPr>
                <w:rFonts w:ascii="NotoSerif" w:hAnsi="NotoSerif" w:eastAsia="NotoSerif"/>
                <w:b w:val="0"/>
                <w:i w:val="0"/>
                <w:u w:val="none"/>
              </w:rPr>
              <w:t xml:space="preserve">3,500.00</w:t>
            </w:r>
          </w:p>
        </w:tc>
      </w:tr>
      <w:tr>
        <w:tc>
          <w:tcPr>
            <w:tcW w:type="dxa" w:w="1037"/>
          </w:tcPr>
          <w:p>
            <w:pPr>
              <w:spacing w:after="80" w:before="80"/>
            </w:pPr>
            <w:r>
              <w:rPr>
                <w:rFonts w:ascii="NotoSerif" w:hAnsi="NotoSerif" w:eastAsia="NotoSerif"/>
                <w:b w:val="0"/>
                <w:i w:val="0"/>
                <w:u w:val="none"/>
              </w:rPr>
              <w:t xml:space="preserve">TC-103</w:t>
            </w:r>
          </w:p>
        </w:tc>
        <w:tc>
          <w:tcPr>
            <w:tcW w:type="dxa" w:w="3528"/>
          </w:tcPr>
          <w:p>
            <w:pPr>
              <w:spacing w:after="80" w:before="80"/>
            </w:pPr>
            <w:r>
              <w:rPr>
                <w:rFonts w:ascii="NotoSerif" w:hAnsi="NotoSerif" w:eastAsia="NotoSerif"/>
                <w:b w:val="0"/>
                <w:i w:val="0"/>
                <w:u w:val="none"/>
              </w:rPr>
              <w:t xml:space="preserve">Sade vazo</w:t>
            </w:r>
          </w:p>
        </w:tc>
        <w:tc>
          <w:tcPr>
            <w:tcW w:type="dxa" w:w="1267"/>
          </w:tcPr>
          <w:p>
            <w:pPr>
              <w:spacing w:after="80" w:before="80"/>
            </w:pPr>
            <w:r>
              <w:rPr>
                <w:rFonts w:ascii="NotoSerif" w:hAnsi="NotoSerif" w:eastAsia="NotoSerif"/>
                <w:b w:val="0"/>
                <w:i w:val="0"/>
                <w:u w:val="none"/>
              </w:rPr>
              <w:t xml:space="preserve">150</w:t>
            </w:r>
          </w:p>
        </w:tc>
        <w:tc>
          <w:tcPr>
            <w:tcW w:type="dxa" w:w="1512"/>
          </w:tcPr>
          <w:p>
            <w:pPr>
              <w:spacing w:after="80" w:before="80"/>
            </w:pPr>
            <w:r>
              <w:rPr>
                <w:rFonts w:ascii="NotoSerif" w:hAnsi="NotoSerif" w:eastAsia="NotoSerif"/>
                <w:b w:val="0"/>
                <w:i w:val="0"/>
                <w:u w:val="none"/>
              </w:rPr>
              <w:t xml:space="preserve">12.00</w:t>
            </w:r>
          </w:p>
        </w:tc>
        <w:tc>
          <w:tcPr>
            <w:tcW w:type="dxa" w:w="1584"/>
          </w:tcPr>
          <w:p>
            <w:pPr>
              <w:spacing w:after="80" w:before="80"/>
            </w:pPr>
            <w:r>
              <w:rPr>
                <w:rFonts w:ascii="NotoSerif" w:hAnsi="NotoSerif" w:eastAsia="NotoSerif"/>
                <w:b w:val="0"/>
                <w:i w:val="0"/>
                <w:u w:val="none"/>
              </w:rPr>
              <w:t xml:space="preserve">1,800.00</w:t>
            </w:r>
          </w:p>
        </w:tc>
      </w:tr>
    </w:tbl>
    <w:p>
      <w:r>
        <w:rPr>
          <w:rFonts w:ascii="NotoSerif" w:hAnsi="NotoSerif" w:eastAsia="NotoSerif"/>
          <w:b w:val="0"/>
          <w:i/>
          <w:u w:val="none"/>
        </w:rPr>
        <w:t xml:space="preserve">Not: Bu sipariş partisinin toplam değeri 8,550.00 ABD dolarıdır. Özel marka logosu baskısı veya özel perakende etiketleri eklenmesini talep ederseniz, ihtiyaç doğrultusunda küçük bir ek ücret alınacaktır.</w:t>
      </w:r>
    </w:p>
    <w:p>
      <w:pPr>
        <w:pStyle w:val="Heading1"/>
      </w:pPr>
      <w:r>
        <w:rPr>
          <w:rFonts w:ascii="NotoSerif" w:hAnsi="NotoSerif" w:eastAsia="NotoSerif"/>
          <w:b w:val="0"/>
          <w:i w:val="0"/>
          <w:u w:val="none"/>
        </w:rPr>
        <w:t xml:space="preserve">II. Ambalaj Standartları ve Teslimat Takvimi</w:t>
      </w:r>
    </w:p>
    <w:p>
      <w:r>
        <w:rPr>
          <w:rFonts w:ascii="NotoSerif" w:hAnsi="NotoSerif" w:eastAsia="NotoSerif"/>
          <w:b w:val="0"/>
          <w:i w:val="0"/>
          <w:u w:val="none"/>
        </w:rPr>
        <w:t xml:space="preserve">Kırılabilir ürünlerin güvenli bir şekilde teslim edilmesini sağlamak için aşağıdaki lojistik ve ambalaj standartlarını uyguluyoruz:</w:t>
      </w:r>
    </w:p>
    <w:p>
      <w:pPr>
        <w:pStyle w:val="ListBullet"/>
      </w:pPr>
      <w:r>
        <w:rPr>
          <w:rFonts w:ascii="NotoSerif" w:hAnsi="NotoSerif" w:eastAsia="NotoSerif"/>
          <w:b/>
          <w:i w:val="0"/>
          <w:u w:val="none"/>
        </w:rPr>
        <w:t xml:space="preserve">Hasara karşı koruyucu ambalaj</w:t>
      </w:r>
      <w:r>
        <w:rPr>
          <w:rFonts w:ascii="NotoSerif" w:hAnsi="NotoSerif" w:eastAsia="NotoSerif"/>
          <w:b w:val="0"/>
          <w:i w:val="0"/>
          <w:u w:val="none"/>
        </w:rPr>
        <w:t xml:space="preserve">：Her ürün ayrı ayrı </w:t>
      </w:r>
      <w:r>
        <w:rPr>
          <w:rFonts w:ascii="NotoSerif" w:hAnsi="NotoSerif" w:eastAsia="NotoSerif"/>
          <w:b w:val="0"/>
          <w:i w:val="0"/>
          <w:color w:val="005C4D"/>
          <w:u w:val="single"/>
        </w:rPr>
        <w:t xml:space="preserve">güçlendirilmiş beş katmanlı oluklu karton kutulara</w:t>
      </w:r>
      <w:r>
        <w:rPr>
          <w:rFonts w:ascii="NotoSerif" w:hAnsi="NotoSerif" w:eastAsia="NotoSerif"/>
          <w:b w:val="0"/>
          <w:i w:val="0"/>
          <w:u w:val="none"/>
        </w:rPr>
        <w:t xml:space="preserve"> yerleştirilecek ve özel üretim darbe emici köpükle korunacaktır.</w:t>
      </w:r>
    </w:p>
    <w:p>
      <w:pPr>
        <w:pStyle w:val="ListBullet"/>
      </w:pPr>
      <w:r>
        <w:rPr>
          <w:rFonts w:ascii="NotoSerif" w:hAnsi="NotoSerif" w:eastAsia="NotoSerif"/>
          <w:b/>
          <w:i w:val="0"/>
          <w:u w:val="none"/>
        </w:rPr>
        <w:t xml:space="preserve">Deniz taşımacılığı koşulları</w:t>
      </w:r>
      <w:r>
        <w:rPr>
          <w:rFonts w:ascii="NotoSerif" w:hAnsi="NotoSerif" w:eastAsia="NotoSerif"/>
          <w:b w:val="0"/>
          <w:i w:val="0"/>
          <w:u w:val="none"/>
        </w:rPr>
        <w:t xml:space="preserve">：Bu işlem, standart FOB Shenzhen Limanı (FOB Shenzhen Port) koşullarına göre gerçekleştirilecektir.</w:t>
      </w:r>
    </w:p>
    <w:p>
      <w:pPr>
        <w:pStyle w:val="ListBullet"/>
      </w:pPr>
      <w:r>
        <w:rPr>
          <w:rFonts w:ascii="NotoSerif" w:hAnsi="NotoSerif" w:eastAsia="NotoSerif"/>
          <w:b/>
          <w:i w:val="0"/>
          <w:u w:val="none"/>
        </w:rPr>
        <w:t xml:space="preserve">Hazırlık ve teslim süresi</w:t>
      </w:r>
      <w:r>
        <w:rPr>
          <w:rFonts w:ascii="NotoSerif" w:hAnsi="NotoSerif" w:eastAsia="NotoSerif"/>
          <w:b w:val="0"/>
          <w:i w:val="0"/>
          <w:u w:val="none"/>
        </w:rPr>
        <w:t xml:space="preserve">：Onayınızı aldıktan sonra mallar, </w:t>
      </w:r>
      <w:r>
        <w:rPr>
          <w:rFonts w:ascii="NotoSerif" w:hAnsi="NotoSerif" w:eastAsia="NotoSerif"/>
          <w:b/>
          <w:i w:val="0"/>
          <w:u w:val="none"/>
        </w:rPr>
        <w:t xml:space="preserve">10 iş günü</w:t>
      </w:r>
      <w:r>
        <w:rPr>
          <w:rFonts w:ascii="NotoSerif" w:hAnsi="NotoSerif" w:eastAsia="NotoSerif"/>
          <w:b w:val="0"/>
          <w:i w:val="0"/>
          <w:u w:val="none"/>
        </w:rPr>
        <w:t xml:space="preserve"> içinde belirlenen ihracat terminaline ulaştırılacaktır.</w:t>
      </w:r>
    </w:p>
    <w:p>
      <w:pPr>
        <w:pStyle w:val="ListBullet"/>
      </w:pPr>
      <w:r>
        <w:rPr>
          <w:rFonts w:ascii="NotoSerif" w:hAnsi="NotoSerif" w:eastAsia="NotoSerif"/>
          <w:b/>
          <w:i w:val="0"/>
          <w:u w:val="none"/>
        </w:rPr>
        <w:t xml:space="preserve">Fabrika denetimi</w:t>
      </w:r>
      <w:r>
        <w:rPr>
          <w:rFonts w:ascii="NotoSerif" w:hAnsi="NotoSerif" w:eastAsia="NotoSerif"/>
          <w:b w:val="0"/>
          <w:i w:val="0"/>
          <w:u w:val="none"/>
        </w:rPr>
        <w:t xml:space="preserve">：Paketleme öncesinde, gerçek ürün fotoğraflarını içeren bir sevkiyat öncesi denetim raporu sunacağız.</w:t>
      </w:r>
    </w:p>
    <w:p>
      <w:pPr>
        <w:pStyle w:val="Heading1"/>
      </w:pPr>
      <w:r>
        <w:rPr>
          <w:rFonts w:ascii="NotoSerif" w:hAnsi="NotoSerif" w:eastAsia="NotoSerif"/>
          <w:b w:val="0"/>
          <w:i w:val="0"/>
          <w:u w:val="none"/>
        </w:rPr>
        <w:t xml:space="preserve">III. Ödeme Takvimi ve Sonraki Adımlar</w:t>
      </w:r>
    </w:p>
    <w:p>
      <w:r>
        <w:rPr>
          <w:rFonts w:ascii="NotoSerif" w:hAnsi="NotoSerif" w:eastAsia="NotoSerif"/>
          <w:b w:val="0"/>
          <w:i w:val="0"/>
          <w:u w:val="none"/>
        </w:rPr>
        <w:t xml:space="preserve">Siparişi teyit etmek ve üretim takviminde yer ayırtmak için lütfen ödemeleri aşağıdaki plana göre yapın:</w:t>
      </w:r>
    </w:p>
    <w:p>
      <w:pPr>
        <w:pStyle w:val="ListNumber"/>
      </w:pPr>
      <w:r>
        <w:rPr>
          <w:rFonts w:ascii="NotoSerif" w:hAnsi="NotoSerif" w:eastAsia="NotoSerif"/>
          <w:b w:val="0"/>
          <w:i w:val="0"/>
          <w:u w:val="none"/>
        </w:rPr>
        <w:t xml:space="preserve">Üretim ve ürün hazırlığı başlamadan önce lütfen sipariş toplamının %30'u (yani 2,565.00 ABD doları) tutarında kapora ödeyin.</w:t>
      </w:r>
    </w:p>
    <w:p>
      <w:pPr>
        <w:pStyle w:val="ListNumber"/>
      </w:pPr>
      <w:r>
        <w:rPr>
          <w:rFonts w:ascii="NotoSerif" w:hAnsi="NotoSerif" w:eastAsia="NotoSerif"/>
          <w:b w:val="0"/>
          <w:i w:val="0"/>
          <w:u w:val="none"/>
        </w:rPr>
        <w:t xml:space="preserve">Kalan %70'lik bakiye (yani 5,985.00 ABD doları), </w:t>
      </w:r>
      <w:r>
        <w:rPr>
          <w:rFonts w:ascii="NotoSerif" w:hAnsi="NotoSerif" w:eastAsia="NotoSerif"/>
          <w:b/>
          <w:i w:val="0"/>
          <w:u w:val="none"/>
        </w:rPr>
        <w:t xml:space="preserve">konşimento (B/L) nüshasını aldıktan sonraki 5 gün</w:t>
      </w:r>
      <w:r>
        <w:rPr>
          <w:rFonts w:ascii="NotoSerif" w:hAnsi="NotoSerif" w:eastAsia="NotoSerif"/>
          <w:b w:val="0"/>
          <w:i w:val="0"/>
          <w:u w:val="none"/>
        </w:rPr>
        <w:t xml:space="preserve"> içinde ödenmelidir.</w:t>
      </w:r>
    </w:p>
    <w:p>
      <w:r>
        <w:rPr>
          <w:rFonts w:ascii="NotoSerif" w:hAnsi="NotoSerif" w:eastAsia="NotoSerif"/>
          <w:b w:val="0"/>
          <w:i w:val="0"/>
          <w:u w:val="none"/>
        </w:rPr>
        <w:t xml:space="preserve">Yukarıdaki koşulların tümü doğruysa lütfen </w:t>
      </w:r>
      <w:r>
        <w:rPr>
          <w:rFonts w:ascii="NotoSerif" w:hAnsi="NotoSerif" w:eastAsia="NotoSerif"/>
          <w:b/>
          <w:i w:val="0"/>
          <w:u w:val="none"/>
        </w:rPr>
        <w:t xml:space="preserve">bu cuma saat 17.00'ye kadar</w:t>
      </w:r>
      <w:r>
        <w:rPr>
          <w:rFonts w:ascii="NotoSerif" w:hAnsi="NotoSerif" w:eastAsia="NotoSerif"/>
          <w:b w:val="0"/>
          <w:i w:val="0"/>
          <w:u w:val="none"/>
        </w:rPr>
        <w:t xml:space="preserve"> “Onaylıyorum” yanıtını verin. Onayınızı aldıktan sonra ekibimiz stokları hemen ayıracak ve paketleme ile sevkiyat sürecini başlatacaktır.</w:t>
      </w:r>
    </w:p>
    <w:p>
      <w:r>
        <w:rPr>
          <w:rFonts w:ascii="NotoSerif" w:hAnsi="NotoSerif" w:eastAsia="NotoSerif"/>
          <w:b w:val="0"/>
          <w:i w:val="0"/>
          <w:u w:val="none"/>
        </w:rPr>
        <w:t xml:space="preserve">Saygılarımızla,</w:t>
      </w:r>
    </w:p>
    <w:p>
      <w:r>
        <w:rPr>
          <w:rFonts w:ascii="NotoSerif" w:hAnsi="NotoSerif" w:eastAsia="NotoSerif"/>
          <w:b w:val="0"/>
          <w:i w:val="0"/>
          <w:u w:val="none"/>
        </w:rPr>
        <w:t xml:space="preserve">Equalang Takımı</w:t>
      </w:r>
    </w:p>
    <w:sectPr w:rsidR="00FC693F" w:rsidRPr="0006063C" w:rsidSect="00034616">
      <w:headerReference w:type="default" r:id="rId9"/>
      <w:footerReference w:type="default" r:id="rId10"/>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NotoSerif" w:hAnsi="NotoSerif" w:eastAsia="NotoSerif"/>
        <w:sz w:val="16"/>
      </w:rPr>
      <w:t xml:space="preserve">Kurgusal demo materyali - gerçek bir işlem belgesi değildir</w:t>
    </w:r>
    <w:r>
      <w:rPr>
        <w:rFonts w:ascii="NotoSerif" w:hAnsi="NotoSerif" w:eastAsia="NotoSerif"/>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NotoSerif" w:hAnsi="NotoSerif" w:eastAsia="NotoSerif"/>
        <w:sz w:val="16"/>
      </w:rPr>
      <w:t xml:space="preserve">Equalang Takımı - Tedarik Onay Formu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40" w:lineRule="auto"/>
      <w:outlineLvl w:val="0"/>
    </w:pPr>
    <w:rPr>
      <w:rFonts w:asciiTheme="majorHAnsi" w:eastAsiaTheme="majorEastAsia" w:hAnsiTheme="majorHAnsi" w:cstheme="majorBidi" w:ascii="Arial Unicode MS" w:hAnsi="Arial Unicode MS" w:eastAsia="Arial Unicode M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Unicode MS" w:hAnsi="Arial Unicode MS" w:eastAsia="Arial Unicode M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陶瓷产品供货与发货确认单</dc:title>
  <dc:subject/>
  <dc:creator>Equalang</dc:creator>
  <cp:keywords/>
  <dc:description>本文档由 Equalang AI 翻译（equalang.com）生成，内容仅供参考。
This document was translated by Equalang AI (equalang.com) and is for informational purposes only.</dc:description>
  <cp:lastModifiedBy>Equalang</cp:lastModifiedBy>
  <cp:revision>1</cp:revision>
  <dcterms:created xsi:type="dcterms:W3CDTF">2013-12-23T23:15:00Z</dcterms:created>
  <dcterms:modified xsi:type="dcterms:W3CDTF">2013-12-23T23:15:00Z</dcterms:modified>
  <cp:category/>
</cp:coreProperties>
</file>