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Serif" w:hAnsi="NotoSerif" w:eastAsia="NotoSerif"/>
          <w:b w:val="0"/>
          <w:i w:val="0"/>
          <w:u w:val="none"/>
        </w:rPr>
        <w:t xml:space="preserve">Bekräftelse av leverans och avsändning av keramiska produkter</w:t>
      </w:r>
    </w:p>
    <w:p>
      <w:r>
        <w:rPr>
          <w:rFonts w:ascii="NotoSerif" w:hAnsi="NotoSerif" w:eastAsia="NotoSerif"/>
          <w:b w:val="0"/>
          <w:i w:val="0"/>
          <w:u w:val="none"/>
        </w:rPr>
        <w:t xml:space="preserve">Tack för din förfrågan nyligen. Detta dokument bekräftar de specifika leveransvillkoren, leveransplanen och betalningsvillkoren för den beställning av keramiska produkter som du snart kommer att lägga. Innan vi går vidare med den slutliga orderhanteringen ber vi dig kontrollera att produkterna, kvantiteterna och priserna i tabellen nedan stämmer.</w:t>
      </w:r>
    </w:p>
    <w:p>
      <w:pPr>
        <w:pStyle w:val="Heading1"/>
      </w:pPr>
      <w:r>
        <w:rPr>
          <w:rFonts w:ascii="NotoSerif" w:hAnsi="NotoSerif" w:eastAsia="NotoSerif"/>
          <w:b w:val="0"/>
          <w:i w:val="0"/>
          <w:u w:val="none"/>
        </w:rPr>
        <w:t xml:space="preserve">I. Produktspecifikationer och prisuppgifter</w:t>
      </w:r>
    </w:p>
    <w:p>
      <w:r>
        <w:rPr>
          <w:rFonts w:ascii="NotoSerif" w:hAnsi="NotoSerif" w:eastAsia="NotoSerif"/>
          <w:b w:val="0"/>
          <w:i w:val="0"/>
          <w:u w:val="none"/>
        </w:rPr>
        <w:t xml:space="preserve">Tabellen nedan visar detaljerna för de keramiska produkter som reserverats åt dig i denna leverans. Alla enhetspriser anges i amerikanska dollar (USD) och inkluderar kostnaden för standardmässigt exportskyddande emballage som förebygger skador på ömtåligt gods under transport.</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37"/>
        <w:gridCol w:w="3528"/>
        <w:gridCol w:w="1267"/>
        <w:gridCol w:w="1512"/>
        <w:gridCol w:w="1584"/>
      </w:tblGrid>
      <w:tr>
        <w:tc>
          <w:tcPr>
            <w:tcW w:type="dxa" w:w="1037"/>
            <w:shd w:fill="DDEBF7"/>
          </w:tcPr>
          <w:p>
            <w:pPr>
              <w:spacing w:after="80" w:before="80"/>
            </w:pPr>
            <w:r>
              <w:rPr>
                <w:rFonts w:ascii="NotoSerif" w:hAnsi="NotoSerif" w:eastAsia="NotoSerif"/>
                <w:b/>
                <w:i w:val="0"/>
                <w:u w:val="none"/>
              </w:rPr>
              <w:t xml:space="preserve">Artikelnummer</w:t>
            </w:r>
          </w:p>
        </w:tc>
        <w:tc>
          <w:tcPr>
            <w:tcW w:type="dxa" w:w="3528"/>
            <w:shd w:fill="DDEBF7"/>
          </w:tcPr>
          <w:p>
            <w:pPr>
              <w:spacing w:after="80" w:before="80"/>
            </w:pPr>
            <w:r>
              <w:rPr>
                <w:rFonts w:ascii="NotoSerif" w:hAnsi="NotoSerif" w:eastAsia="NotoSerif"/>
                <w:b/>
                <w:i w:val="0"/>
                <w:u w:val="none"/>
              </w:rPr>
              <w:t xml:space="preserve">Produktnamn</w:t>
            </w:r>
          </w:p>
        </w:tc>
        <w:tc>
          <w:tcPr>
            <w:tcW w:type="dxa" w:w="1267"/>
            <w:shd w:fill="DDEBF7"/>
          </w:tcPr>
          <w:p>
            <w:pPr>
              <w:spacing w:after="80" w:before="80"/>
            </w:pPr>
            <w:r>
              <w:rPr>
                <w:rFonts w:ascii="NotoSerif" w:hAnsi="NotoSerif" w:eastAsia="NotoSerif"/>
                <w:b/>
                <w:i w:val="0"/>
                <w:u w:val="none"/>
              </w:rPr>
              <w:t xml:space="preserve">Kvantitet</w:t>
            </w:r>
          </w:p>
        </w:tc>
        <w:tc>
          <w:tcPr>
            <w:tcW w:type="dxa" w:w="1512"/>
            <w:shd w:fill="DDEBF7"/>
          </w:tcPr>
          <w:p>
            <w:pPr>
              <w:spacing w:after="80" w:before="80"/>
            </w:pPr>
            <w:r>
              <w:rPr>
                <w:rFonts w:ascii="NotoSerif" w:hAnsi="NotoSerif" w:eastAsia="NotoSerif"/>
                <w:b/>
                <w:i w:val="0"/>
                <w:u w:val="none"/>
              </w:rPr>
              <w:t xml:space="preserve">Enhetspris (USD)</w:t>
            </w:r>
          </w:p>
        </w:tc>
        <w:tc>
          <w:tcPr>
            <w:tcW w:type="dxa" w:w="1584"/>
            <w:shd w:fill="DDEBF7"/>
          </w:tcPr>
          <w:p>
            <w:pPr>
              <w:spacing w:after="80" w:before="80"/>
            </w:pPr>
            <w:r>
              <w:rPr>
                <w:rFonts w:ascii="NotoSerif" w:hAnsi="NotoSerif" w:eastAsia="NotoSerif"/>
                <w:b/>
                <w:i w:val="0"/>
                <w:u w:val="none"/>
              </w:rPr>
              <w:t xml:space="preserve">Totalpris (USD)</w:t>
            </w:r>
          </w:p>
        </w:tc>
      </w:tr>
      <w:tr>
        <w:tc>
          <w:tcPr>
            <w:tcW w:type="dxa" w:w="1037"/>
          </w:tcPr>
          <w:p>
            <w:pPr>
              <w:spacing w:after="80" w:before="80"/>
            </w:pPr>
            <w:r>
              <w:rPr>
                <w:rFonts w:ascii="NotoSerif" w:hAnsi="NotoSerif" w:eastAsia="NotoSerif"/>
                <w:b w:val="0"/>
                <w:i w:val="0"/>
                <w:u w:val="none"/>
              </w:rPr>
              <w:t xml:space="preserve">TC-101</w:t>
            </w:r>
          </w:p>
        </w:tc>
        <w:tc>
          <w:tcPr>
            <w:tcW w:type="dxa" w:w="3528"/>
          </w:tcPr>
          <w:p>
            <w:pPr>
              <w:spacing w:after="80" w:before="80"/>
            </w:pPr>
            <w:r>
              <w:rPr>
                <w:rFonts w:ascii="NotoSerif" w:hAnsi="NotoSerif" w:eastAsia="NotoSerif"/>
                <w:b w:val="0"/>
                <w:i w:val="0"/>
                <w:u w:val="none"/>
              </w:rPr>
              <w:t xml:space="preserve">Glaserat matservisset</w:t>
            </w:r>
          </w:p>
        </w:tc>
        <w:tc>
          <w:tcPr>
            <w:tcW w:type="dxa" w:w="1267"/>
          </w:tcPr>
          <w:p>
            <w:pPr>
              <w:spacing w:after="80" w:before="80"/>
            </w:pPr>
            <w:r>
              <w:rPr>
                <w:rFonts w:ascii="NotoSerif" w:hAnsi="NotoSerif" w:eastAsia="NotoSerif"/>
                <w:b w:val="0"/>
                <w:i w:val="0"/>
                <w:u w:val="none"/>
              </w:rPr>
              <w:t xml:space="preserve">500</w:t>
            </w:r>
          </w:p>
        </w:tc>
        <w:tc>
          <w:tcPr>
            <w:tcW w:type="dxa" w:w="1512"/>
          </w:tcPr>
          <w:p>
            <w:pPr>
              <w:spacing w:after="80" w:before="80"/>
            </w:pPr>
            <w:r>
              <w:rPr>
                <w:rFonts w:ascii="NotoSerif" w:hAnsi="NotoSerif" w:eastAsia="NotoSerif"/>
                <w:b w:val="0"/>
                <w:i w:val="0"/>
                <w:u w:val="none"/>
              </w:rPr>
              <w:t xml:space="preserve">6.50</w:t>
            </w:r>
          </w:p>
        </w:tc>
        <w:tc>
          <w:tcPr>
            <w:tcW w:type="dxa" w:w="1584"/>
          </w:tcPr>
          <w:p>
            <w:pPr>
              <w:spacing w:after="80" w:before="80"/>
            </w:pPr>
            <w:r>
              <w:rPr>
                <w:rFonts w:ascii="NotoSerif" w:hAnsi="NotoSerif" w:eastAsia="NotoSerif"/>
                <w:b w:val="0"/>
                <w:i w:val="0"/>
                <w:u w:val="none"/>
              </w:rPr>
              <w:t xml:space="preserve">3,250.00</w:t>
            </w:r>
          </w:p>
        </w:tc>
      </w:tr>
      <w:tr>
        <w:tc>
          <w:tcPr>
            <w:tcW w:type="dxa" w:w="1037"/>
          </w:tcPr>
          <w:p>
            <w:pPr>
              <w:spacing w:after="80" w:before="80"/>
            </w:pPr>
            <w:r>
              <w:rPr>
                <w:rFonts w:ascii="NotoSerif" w:hAnsi="NotoSerif" w:eastAsia="NotoSerif"/>
                <w:b w:val="0"/>
                <w:i w:val="0"/>
                <w:u w:val="none"/>
              </w:rPr>
              <w:t xml:space="preserve">TC-102</w:t>
            </w:r>
          </w:p>
        </w:tc>
        <w:tc>
          <w:tcPr>
            <w:tcW w:type="dxa" w:w="3528"/>
          </w:tcPr>
          <w:p>
            <w:pPr>
              <w:spacing w:after="80" w:before="80"/>
            </w:pPr>
            <w:r>
              <w:rPr>
                <w:rFonts w:ascii="NotoSerif" w:hAnsi="NotoSerif" w:eastAsia="NotoSerif"/>
                <w:b w:val="0"/>
                <w:i w:val="0"/>
                <w:u w:val="none"/>
              </w:rPr>
              <w:t xml:space="preserve">Handgjort teset i vitt porslin</w:t>
            </w:r>
          </w:p>
        </w:tc>
        <w:tc>
          <w:tcPr>
            <w:tcW w:type="dxa" w:w="1267"/>
          </w:tcPr>
          <w:p>
            <w:pPr>
              <w:spacing w:after="80" w:before="80"/>
            </w:pPr>
            <w:r>
              <w:rPr>
                <w:rFonts w:ascii="NotoSerif" w:hAnsi="NotoSerif" w:eastAsia="NotoSerif"/>
                <w:b w:val="0"/>
                <w:i w:val="0"/>
                <w:u w:val="none"/>
              </w:rPr>
              <w:t xml:space="preserve">200</w:t>
            </w:r>
          </w:p>
        </w:tc>
        <w:tc>
          <w:tcPr>
            <w:tcW w:type="dxa" w:w="1512"/>
          </w:tcPr>
          <w:p>
            <w:pPr>
              <w:spacing w:after="80" w:before="80"/>
            </w:pPr>
            <w:r>
              <w:rPr>
                <w:rFonts w:ascii="NotoSerif" w:hAnsi="NotoSerif" w:eastAsia="NotoSerif"/>
                <w:b w:val="0"/>
                <w:i w:val="0"/>
                <w:u w:val="none"/>
              </w:rPr>
              <w:t xml:space="preserve">17.50</w:t>
            </w:r>
          </w:p>
        </w:tc>
        <w:tc>
          <w:tcPr>
            <w:tcW w:type="dxa" w:w="1584"/>
          </w:tcPr>
          <w:p>
            <w:pPr>
              <w:spacing w:after="80" w:before="80"/>
            </w:pPr>
            <w:r>
              <w:rPr>
                <w:rFonts w:ascii="NotoSerif" w:hAnsi="NotoSerif" w:eastAsia="NotoSerif"/>
                <w:b w:val="0"/>
                <w:i w:val="0"/>
                <w:u w:val="none"/>
              </w:rPr>
              <w:t xml:space="preserve">3,500.00</w:t>
            </w:r>
          </w:p>
        </w:tc>
      </w:tr>
      <w:tr>
        <w:tc>
          <w:tcPr>
            <w:tcW w:type="dxa" w:w="1037"/>
          </w:tcPr>
          <w:p>
            <w:pPr>
              <w:spacing w:after="80" w:before="80"/>
            </w:pPr>
            <w:r>
              <w:rPr>
                <w:rFonts w:ascii="NotoSerif" w:hAnsi="NotoSerif" w:eastAsia="NotoSerif"/>
                <w:b w:val="0"/>
                <w:i w:val="0"/>
                <w:u w:val="none"/>
              </w:rPr>
              <w:t xml:space="preserve">TC-103</w:t>
            </w:r>
          </w:p>
        </w:tc>
        <w:tc>
          <w:tcPr>
            <w:tcW w:type="dxa" w:w="3528"/>
          </w:tcPr>
          <w:p>
            <w:pPr>
              <w:spacing w:after="80" w:before="80"/>
            </w:pPr>
            <w:r>
              <w:rPr>
                <w:rFonts w:ascii="NotoSerif" w:hAnsi="NotoSerif" w:eastAsia="NotoSerif"/>
                <w:b w:val="0"/>
                <w:i w:val="0"/>
                <w:u w:val="none"/>
              </w:rPr>
              <w:t xml:space="preserve">Enkel vas</w:t>
            </w:r>
          </w:p>
        </w:tc>
        <w:tc>
          <w:tcPr>
            <w:tcW w:type="dxa" w:w="1267"/>
          </w:tcPr>
          <w:p>
            <w:pPr>
              <w:spacing w:after="80" w:before="80"/>
            </w:pPr>
            <w:r>
              <w:rPr>
                <w:rFonts w:ascii="NotoSerif" w:hAnsi="NotoSerif" w:eastAsia="NotoSerif"/>
                <w:b w:val="0"/>
                <w:i w:val="0"/>
                <w:u w:val="none"/>
              </w:rPr>
              <w:t xml:space="preserve">150</w:t>
            </w:r>
          </w:p>
        </w:tc>
        <w:tc>
          <w:tcPr>
            <w:tcW w:type="dxa" w:w="1512"/>
          </w:tcPr>
          <w:p>
            <w:pPr>
              <w:spacing w:after="80" w:before="80"/>
            </w:pPr>
            <w:r>
              <w:rPr>
                <w:rFonts w:ascii="NotoSerif" w:hAnsi="NotoSerif" w:eastAsia="NotoSerif"/>
                <w:b w:val="0"/>
                <w:i w:val="0"/>
                <w:u w:val="none"/>
              </w:rPr>
              <w:t xml:space="preserve">12.00</w:t>
            </w:r>
          </w:p>
        </w:tc>
        <w:tc>
          <w:tcPr>
            <w:tcW w:type="dxa" w:w="1584"/>
          </w:tcPr>
          <w:p>
            <w:pPr>
              <w:spacing w:after="80" w:before="80"/>
            </w:pPr>
            <w:r>
              <w:rPr>
                <w:rFonts w:ascii="NotoSerif" w:hAnsi="NotoSerif" w:eastAsia="NotoSerif"/>
                <w:b w:val="0"/>
                <w:i w:val="0"/>
                <w:u w:val="none"/>
              </w:rPr>
              <w:t xml:space="preserve">1,800.00</w:t>
            </w:r>
          </w:p>
        </w:tc>
      </w:tr>
    </w:tbl>
    <w:p>
      <w:r>
        <w:rPr>
          <w:rFonts w:ascii="NotoSerif" w:hAnsi="NotoSerif" w:eastAsia="NotoSerif"/>
          <w:b w:val="0"/>
          <w:i/>
          <w:u w:val="none"/>
        </w:rPr>
        <w:t xml:space="preserve">Obs: Det totala värdet för denna beställning är 8,550.00 USD. Om du vill ha en specialanpassad logotyptryckning eller särskilda detaljhandelsetiketter tillkommer en mindre avgift enligt önskemål.</w:t>
      </w:r>
    </w:p>
    <w:p>
      <w:pPr>
        <w:pStyle w:val="Heading1"/>
      </w:pPr>
      <w:r>
        <w:rPr>
          <w:rFonts w:ascii="NotoSerif" w:hAnsi="NotoSerif" w:eastAsia="NotoSerif"/>
          <w:b w:val="0"/>
          <w:i w:val="0"/>
          <w:u w:val="none"/>
        </w:rPr>
        <w:t xml:space="preserve">II. Förpackningsstandard och leveransplan</w:t>
      </w:r>
    </w:p>
    <w:p>
      <w:r>
        <w:rPr>
          <w:rFonts w:ascii="NotoSerif" w:hAnsi="NotoSerif" w:eastAsia="NotoSerif"/>
          <w:b w:val="0"/>
          <w:i w:val="0"/>
          <w:u w:val="none"/>
        </w:rPr>
        <w:t xml:space="preserve">För att säkerställa att det ömtåliga godset levereras säkert har vi ordnat följande logistik- och förpackningsstandarder:</w:t>
      </w:r>
    </w:p>
    <w:p>
      <w:pPr>
        <w:pStyle w:val="ListBullet"/>
      </w:pPr>
      <w:r>
        <w:rPr>
          <w:rFonts w:ascii="NotoSerif" w:hAnsi="NotoSerif" w:eastAsia="NotoSerif"/>
          <w:b/>
          <w:i w:val="0"/>
          <w:u w:val="none"/>
        </w:rPr>
        <w:t xml:space="preserve">Skyddande emballage</w:t>
      </w:r>
      <w:r>
        <w:rPr>
          <w:rFonts w:ascii="NotoSerif" w:hAnsi="NotoSerif" w:eastAsia="NotoSerif"/>
          <w:b w:val="0"/>
          <w:i w:val="0"/>
          <w:u w:val="none"/>
        </w:rPr>
        <w:t xml:space="preserve">: Varje produkt packas separat i en </w:t>
      </w:r>
      <w:r>
        <w:rPr>
          <w:rFonts w:ascii="NotoSerif" w:hAnsi="NotoSerif" w:eastAsia="NotoSerif"/>
          <w:b w:val="0"/>
          <w:i w:val="0"/>
          <w:color w:val="005C4D"/>
          <w:u w:val="single"/>
        </w:rPr>
        <w:t xml:space="preserve">förstärkt femlagers wellpapplåda</w:t>
      </w:r>
      <w:r>
        <w:rPr>
          <w:rFonts w:ascii="NotoSerif" w:hAnsi="NotoSerif" w:eastAsia="NotoSerif"/>
          <w:b w:val="0"/>
          <w:i w:val="0"/>
          <w:u w:val="none"/>
        </w:rPr>
        <w:t xml:space="preserve"> med specialanpassat stötdämpande skum.</w:t>
      </w:r>
    </w:p>
    <w:p>
      <w:pPr>
        <w:pStyle w:val="ListBullet"/>
      </w:pPr>
      <w:r>
        <w:rPr>
          <w:rFonts w:ascii="NotoSerif" w:hAnsi="NotoSerif" w:eastAsia="NotoSerif"/>
          <w:b/>
          <w:i w:val="0"/>
          <w:u w:val="none"/>
        </w:rPr>
        <w:t xml:space="preserve">Fraktvillkor</w:t>
      </w:r>
      <w:r>
        <w:rPr>
          <w:rFonts w:ascii="NotoSerif" w:hAnsi="NotoSerif" w:eastAsia="NotoSerif"/>
          <w:b w:val="0"/>
          <w:i w:val="0"/>
          <w:u w:val="none"/>
        </w:rPr>
        <w:t xml:space="preserve">: Transaktionen genomförs enligt standardvillkoret FOB Shenzhenhamnen (FOB Shenzhen Port).</w:t>
      </w:r>
    </w:p>
    <w:p>
      <w:pPr>
        <w:pStyle w:val="ListBullet"/>
      </w:pPr>
      <w:r>
        <w:rPr>
          <w:rFonts w:ascii="NotoSerif" w:hAnsi="NotoSerif" w:eastAsia="NotoSerif"/>
          <w:b/>
          <w:i w:val="0"/>
          <w:u w:val="none"/>
        </w:rPr>
        <w:t xml:space="preserve">Leveranstid för färdigställande</w:t>
      </w:r>
      <w:r>
        <w:rPr>
          <w:rFonts w:ascii="NotoSerif" w:hAnsi="NotoSerif" w:eastAsia="NotoSerif"/>
          <w:b w:val="0"/>
          <w:i w:val="0"/>
          <w:u w:val="none"/>
        </w:rPr>
        <w:t xml:space="preserve">: Efter att vi mottagit din bekräftelse levereras varorna till den angivna exporthamnen inom </w:t>
      </w:r>
      <w:r>
        <w:rPr>
          <w:rFonts w:ascii="NotoSerif" w:hAnsi="NotoSerif" w:eastAsia="NotoSerif"/>
          <w:b/>
          <w:i w:val="0"/>
          <w:u w:val="none"/>
        </w:rPr>
        <w:t xml:space="preserve">10 arbetsdagar</w:t>
      </w:r>
      <w:r>
        <w:rPr>
          <w:rFonts w:ascii="NotoSerif" w:hAnsi="NotoSerif" w:eastAsia="NotoSerif"/>
          <w:b w:val="0"/>
          <w:i w:val="0"/>
          <w:u w:val="none"/>
        </w:rPr>
        <w:t xml:space="preserve">.</w:t>
      </w:r>
    </w:p>
    <w:p>
      <w:pPr>
        <w:pStyle w:val="ListBullet"/>
      </w:pPr>
      <w:r>
        <w:rPr>
          <w:rFonts w:ascii="NotoSerif" w:hAnsi="NotoSerif" w:eastAsia="NotoSerif"/>
          <w:b/>
          <w:i w:val="0"/>
          <w:u w:val="none"/>
        </w:rPr>
        <w:t xml:space="preserve">Fabriksinspektion</w:t>
      </w:r>
      <w:r>
        <w:rPr>
          <w:rFonts w:ascii="NotoSerif" w:hAnsi="NotoSerif" w:eastAsia="NotoSerif"/>
          <w:b w:val="0"/>
          <w:i w:val="0"/>
          <w:u w:val="none"/>
        </w:rPr>
        <w:t xml:space="preserve">: Före packning tillhandahåller vi en inspektionsrapport före avsändning med fotografier av de faktiska produkterna.</w:t>
      </w:r>
    </w:p>
    <w:p>
      <w:pPr>
        <w:pStyle w:val="Heading1"/>
      </w:pPr>
      <w:r>
        <w:rPr>
          <w:rFonts w:ascii="NotoSerif" w:hAnsi="NotoSerif" w:eastAsia="NotoSerif"/>
          <w:b w:val="0"/>
          <w:i w:val="0"/>
          <w:u w:val="none"/>
        </w:rPr>
        <w:t xml:space="preserve">III. Betalningsplan och nästa steg</w:t>
      </w:r>
    </w:p>
    <w:p>
      <w:r>
        <w:rPr>
          <w:rFonts w:ascii="NotoSerif" w:hAnsi="NotoSerif" w:eastAsia="NotoSerif"/>
          <w:b w:val="0"/>
          <w:i w:val="0"/>
          <w:u w:val="none"/>
        </w:rPr>
        <w:t xml:space="preserve">För att bekräfta beställningen och reservera produktionstid ber vi dig att betala enligt följande plan:</w:t>
      </w:r>
    </w:p>
    <w:p>
      <w:pPr>
        <w:pStyle w:val="ListNumber"/>
      </w:pPr>
      <w:r>
        <w:rPr>
          <w:rFonts w:ascii="NotoSerif" w:hAnsi="NotoSerif" w:eastAsia="NotoSerif"/>
          <w:b w:val="0"/>
          <w:i w:val="0"/>
          <w:u w:val="none"/>
        </w:rPr>
        <w:t xml:space="preserve">Betala en handpenning på 30 % av det totala orderbeloppet (det vill säga 2,565.00 USD) innan produktionen och förberedelserna av varorna påbörjas.</w:t>
      </w:r>
    </w:p>
    <w:p>
      <w:pPr>
        <w:pStyle w:val="ListNumber"/>
      </w:pPr>
      <w:r>
        <w:rPr>
          <w:rFonts w:ascii="NotoSerif" w:hAnsi="NotoSerif" w:eastAsia="NotoSerif"/>
          <w:b w:val="0"/>
          <w:i w:val="0"/>
          <w:u w:val="none"/>
        </w:rPr>
        <w:t xml:space="preserve">Resterande 70 % (det vill säga 5,985.00 USD) ska betalas inom </w:t>
      </w:r>
      <w:r>
        <w:rPr>
          <w:rFonts w:ascii="NotoSerif" w:hAnsi="NotoSerif" w:eastAsia="NotoSerif"/>
          <w:b/>
          <w:i w:val="0"/>
          <w:u w:val="none"/>
        </w:rPr>
        <w:t xml:space="preserve">5 dagar efter att du mottagit en kopia av konossementet (B/L)</w:t>
      </w:r>
      <w:r>
        <w:rPr>
          <w:rFonts w:ascii="NotoSerif" w:hAnsi="NotoSerif" w:eastAsia="NotoSerif"/>
          <w:b w:val="0"/>
          <w:i w:val="0"/>
          <w:u w:val="none"/>
        </w:rPr>
        <w:t xml:space="preserve">.</w:t>
      </w:r>
    </w:p>
    <w:p>
      <w:r>
        <w:rPr>
          <w:rFonts w:ascii="NotoSerif" w:hAnsi="NotoSerif" w:eastAsia="NotoSerif"/>
          <w:b w:val="0"/>
          <w:i w:val="0"/>
          <w:u w:val="none"/>
        </w:rPr>
        <w:t xml:space="preserve">Om alla ovanstående villkor stämmer ber vi dig svara ”Bekräftar och godkänner” före </w:t>
      </w:r>
      <w:r>
        <w:rPr>
          <w:rFonts w:ascii="NotoSerif" w:hAnsi="NotoSerif" w:eastAsia="NotoSerif"/>
          <w:b/>
          <w:i w:val="0"/>
          <w:u w:val="none"/>
        </w:rPr>
        <w:t xml:space="preserve">kl. 17.00 nu på fredag</w:t>
      </w:r>
      <w:r>
        <w:rPr>
          <w:rFonts w:ascii="NotoSerif" w:hAnsi="NotoSerif" w:eastAsia="NotoSerif"/>
          <w:b w:val="0"/>
          <w:i w:val="0"/>
          <w:u w:val="none"/>
        </w:rPr>
        <w:t xml:space="preserve">. När vi har mottagit din bekräftelse reserverar vårt team omedelbart lagret och påbörjar packnings- och avsändningsprocessen.</w:t>
      </w:r>
    </w:p>
    <w:p>
      <w:r>
        <w:rPr>
          <w:rFonts w:ascii="NotoSerif" w:hAnsi="NotoSerif" w:eastAsia="NotoSerif"/>
          <w:b w:val="0"/>
          <w:i w:val="0"/>
          <w:u w:val="none"/>
        </w:rPr>
        <w:t xml:space="preserve">Med vänliga hälsningar,</w:t>
      </w:r>
    </w:p>
    <w:p>
      <w:r>
        <w:rPr>
          <w:rFonts w:ascii="NotoSerif" w:hAnsi="NotoSerif" w:eastAsia="NotoSerif"/>
          <w:b w:val="0"/>
          <w:i w:val="0"/>
          <w:u w:val="none"/>
        </w:rPr>
        <w:t xml:space="preserve">Equalang-teamet</w:t>
      </w:r>
    </w:p>
    <w:sectPr w:rsidR="00FC693F" w:rsidRPr="0006063C" w:rsidSect="00034616">
      <w:headerReference w:type="default" r:id="rId9"/>
      <w:footerReference w:type="default" r:id="rId10"/>
      <w:pgSz w:w="11909" w:h="16834"/>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NotoSerif" w:hAnsi="NotoSerif" w:eastAsia="NotoSerif"/>
        <w:sz w:val="16"/>
      </w:rPr>
      <w:t xml:space="preserve">Fiktivt demonstrationsmaterial – inget verkligt transaktionsunderlag</w:t>
    </w:r>
    <w:r>
      <w:rPr>
        <w:rFonts w:ascii="NotoSerif" w:hAnsi="NotoSerif" w:eastAsia="NotoSerif"/>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NotoSerif" w:hAnsi="NotoSerif" w:eastAsia="NotoSerif"/>
        <w:sz w:val="16"/>
      </w:rPr>
      <w:t xml:space="preserve">Equalang-teamet – leveransbekräftelse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80"/>
    </w:pPr>
    <w:rPr>
      <w:rFonts w:ascii="Arial Unicode MS" w:hAnsi="Arial Unicode MS" w:eastAsia="Arial Unicode M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line="240" w:lineRule="auto"/>
      <w:outlineLvl w:val="0"/>
    </w:pPr>
    <w:rPr>
      <w:rFonts w:asciiTheme="majorHAnsi" w:eastAsiaTheme="majorEastAsia" w:hAnsiTheme="majorHAnsi" w:cstheme="majorBidi" w:ascii="Arial Unicode MS" w:hAnsi="Arial Unicode MS" w:eastAsia="Arial Unicode MS"/>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Arial Unicode MS" w:hAnsi="Arial Unicode MS" w:eastAsia="Arial Unicode MS"/>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40"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40" w:lineRule="auto"/>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陶瓷产品供货与发货确认单</dc:title>
  <dc:subject/>
  <dc:creator>Equalang</dc:creator>
  <cp:keywords/>
  <dc:description>本文档由 Equalang AI 翻译（equalang.com）生成，内容仅供参考。
This document was translated by Equalang AI (equalang.com) and is for informational purposes only.</dc:description>
  <cp:lastModifiedBy>Equalang</cp:lastModifiedBy>
  <cp:revision>1</cp:revision>
  <dcterms:created xsi:type="dcterms:W3CDTF">2013-12-23T23:15:00Z</dcterms:created>
  <dcterms:modified xsi:type="dcterms:W3CDTF">2013-12-23T23:15:00Z</dcterms:modified>
  <cp:category/>
</cp:coreProperties>
</file>