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  <w:u w:val="none"/>
        </w:rPr>
        <w:t xml:space="preserve">Подтверждение поставки и отгрузки керамической продукции</w:t>
      </w:r>
    </w:p>
    <w:p>
      <w:r>
        <w:rPr>
          <w:b w:val="0"/>
          <w:i w:val="0"/>
          <w:u w:val="none"/>
        </w:rPr>
        <w:t xml:space="preserve">Благодарим вас за недавний запрос. Настоящий документ предназначен для подтверждения конкретных условий поставки, графика доставки и условий оплаты заказа керамической продукции, который вы собираетесь приобрести. Прежде чем перейти к окончательному оформлению заказа, проверьте, пожалуйста, правильность наименований товаров, количества и цен в таблице ниже.</w:t>
      </w:r>
    </w:p>
    <w:p>
      <w:pPr>
        <w:pStyle w:val="Heading1"/>
      </w:pPr>
      <w:r>
        <w:rPr>
          <w:b w:val="0"/>
          <w:i w:val="0"/>
          <w:u w:val="none"/>
        </w:rPr>
        <w:t xml:space="preserve">I. Спецификации продукции и подробная информация о ценах</w:t>
      </w:r>
    </w:p>
    <w:p>
      <w:r>
        <w:rPr>
          <w:b w:val="0"/>
          <w:i w:val="0"/>
          <w:u w:val="none"/>
        </w:rPr>
        <w:t xml:space="preserve">В таблице ниже приведён перечень керамических изделий, зарезервированных для вас в этой партии. Все цены указаны в долларах США (USD) и включают стоимость стандартной экспортной защитной упаковки, предотвращающей повреждение хрупких товаров при транспортировке.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 xml:space="preserve">Артикул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 xml:space="preserve">Наименование товара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 xml:space="preserve">Количество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 xml:space="preserve">Цена за единицу (доллары США)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 xml:space="preserve">Общая стоимость (доллары США)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Набор глазурованных обеденных тарелок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Набор чайной посуды из белого фарфора ручной работы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Ваза в минималистичном стиле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b w:val="0"/>
          <w:i/>
          <w:u w:val="none"/>
        </w:rPr>
        <w:t xml:space="preserve">Примечание: общая стоимость заказа составляет 8 550,00 долларов США. За печать логотипа бренда на заказ или добавление специальных розничных этикеток взимается небольшая дополнительная плата.</w:t>
      </w:r>
    </w:p>
    <w:p>
      <w:pPr>
        <w:pStyle w:val="Heading1"/>
      </w:pPr>
      <w:r>
        <w:rPr>
          <w:b w:val="0"/>
          <w:i w:val="0"/>
          <w:u w:val="none"/>
        </w:rPr>
        <w:t xml:space="preserve">II. Стандарты упаковки и график поставки</w:t>
      </w:r>
    </w:p>
    <w:p>
      <w:r>
        <w:rPr>
          <w:b w:val="0"/>
          <w:i w:val="0"/>
          <w:u w:val="none"/>
        </w:rPr>
        <w:t xml:space="preserve">Чтобы обеспечить безопасную доставку хрупкого груза, мы предусмотрели следующие стандарты упаковки и логистики:</w:t>
      </w:r>
    </w:p>
    <w:p>
      <w:pPr>
        <w:pStyle w:val="ListBullet"/>
      </w:pPr>
      <w:r>
        <w:rPr>
          <w:b/>
          <w:i w:val="0"/>
          <w:u w:val="none"/>
        </w:rPr>
        <w:t xml:space="preserve">Защитная упаковка</w:t>
      </w:r>
      <w:r>
        <w:rPr>
          <w:b w:val="0"/>
          <w:i w:val="0"/>
          <w:u w:val="none"/>
        </w:rPr>
        <w:t xml:space="preserve">: каждое изделие будет отдельно упаковано в </w:t>
      </w:r>
      <w:r>
        <w:rPr>
          <w:b w:val="0"/>
          <w:i w:val="0"/>
          <w:color w:val="005C4D"/>
          <w:u w:val="single"/>
        </w:rPr>
        <w:t xml:space="preserve">усиленную пятислойную гофрокоробку</w:t>
      </w:r>
      <w:r>
        <w:rPr>
          <w:b w:val="0"/>
          <w:i w:val="0"/>
          <w:u w:val="none"/>
        </w:rPr>
        <w:t xml:space="preserve"> с изготовленным на заказ амортизирующим пеноматериалом.</w:t>
      </w:r>
    </w:p>
    <w:p>
      <w:pPr>
        <w:pStyle w:val="ListBullet"/>
      </w:pPr>
      <w:r>
        <w:rPr>
          <w:b/>
          <w:i w:val="0"/>
          <w:u w:val="none"/>
        </w:rPr>
        <w:t xml:space="preserve">Условия морской перевозки</w:t>
      </w:r>
      <w:r>
        <w:rPr>
          <w:b w:val="0"/>
          <w:i w:val="0"/>
          <w:u w:val="none"/>
        </w:rPr>
        <w:t xml:space="preserve">: сделка осуществляется на стандартных условиях FOB Порт Шэньчжэнь (FOB Shenzhen Port).</w:t>
      </w:r>
    </w:p>
    <w:p>
      <w:pPr>
        <w:pStyle w:val="ListBullet"/>
      </w:pPr>
      <w:r>
        <w:rPr>
          <w:b/>
          <w:i w:val="0"/>
          <w:u w:val="none"/>
        </w:rPr>
        <w:t xml:space="preserve">Срок подготовки товара</w:t>
      </w:r>
      <w:r>
        <w:rPr>
          <w:b w:val="0"/>
          <w:i w:val="0"/>
          <w:u w:val="none"/>
        </w:rPr>
        <w:t xml:space="preserve">: после получения вашего подтверждения товар будет доставлен на указанный экспортный терминал в течение </w:t>
      </w:r>
      <w:r>
        <w:rPr>
          <w:b/>
          <w:i w:val="0"/>
          <w:u w:val="none"/>
        </w:rPr>
        <w:t xml:space="preserve">10 рабочих дней</w:t>
      </w:r>
      <w:r>
        <w:rPr>
          <w:b w:val="0"/>
          <w:i w:val="0"/>
          <w:u w:val="none"/>
        </w:rPr>
        <w:t xml:space="preserve">.</w:t>
      </w:r>
    </w:p>
    <w:p>
      <w:pPr>
        <w:pStyle w:val="ListBullet"/>
      </w:pPr>
      <w:r>
        <w:rPr>
          <w:b/>
          <w:i w:val="0"/>
          <w:u w:val="none"/>
        </w:rPr>
        <w:t xml:space="preserve">Предотгрузочная инспекция</w:t>
      </w:r>
      <w:r>
        <w:rPr>
          <w:b w:val="0"/>
          <w:i w:val="0"/>
          <w:u w:val="none"/>
        </w:rPr>
        <w:t xml:space="preserve">: перед упаковкой мы предоставим отчёт о предотгрузочной инспекции с фотографиями товаров.</w:t>
      </w:r>
    </w:p>
    <w:p>
      <w:pPr>
        <w:pStyle w:val="Heading1"/>
      </w:pPr>
      <w:r>
        <w:rPr>
          <w:b w:val="0"/>
          <w:i w:val="0"/>
          <w:u w:val="none"/>
        </w:rPr>
        <w:t xml:space="preserve">III. График оплаты и дальнейшие действия</w:t>
      </w:r>
    </w:p>
    <w:p>
      <w:r>
        <w:rPr>
          <w:b w:val="0"/>
          <w:i w:val="0"/>
          <w:u w:val="none"/>
        </w:rPr>
        <w:t xml:space="preserve">Чтобы подтвердить заказ и закрепить за ним производственные мощности, просим произвести оплату в соответствии со следующим графиком:</w:t>
      </w:r>
    </w:p>
    <w:p>
      <w:pPr>
        <w:pStyle w:val="ListNumber"/>
      </w:pPr>
      <w:r>
        <w:rPr>
          <w:b w:val="0"/>
          <w:i w:val="0"/>
          <w:u w:val="none"/>
        </w:rPr>
        <w:t xml:space="preserve">До начала производства и подготовки товара внесите предоплату в размере 30% от общей суммы заказа (то есть 2 565,00 долларов США).</w:t>
      </w:r>
    </w:p>
    <w:p>
      <w:pPr>
        <w:pStyle w:val="ListNumber"/>
      </w:pPr>
      <w:r>
        <w:rPr>
          <w:b w:val="0"/>
          <w:i w:val="0"/>
          <w:u w:val="none"/>
        </w:rPr>
        <w:t xml:space="preserve">Оставшиеся 70% (то есть 5 985,00 долларов США) необходимо оплатить в течение </w:t>
      </w:r>
      <w:r>
        <w:rPr>
          <w:b/>
          <w:i w:val="0"/>
          <w:u w:val="none"/>
        </w:rPr>
        <w:t xml:space="preserve">5 дней после получения копии коносамента (B/L)</w:t>
      </w:r>
      <w:r>
        <w:rPr>
          <w:b w:val="0"/>
          <w:i w:val="0"/>
          <w:u w:val="none"/>
        </w:rPr>
        <w:t xml:space="preserve">.</w:t>
      </w:r>
    </w:p>
    <w:p>
      <w:r>
        <w:rPr>
          <w:b w:val="0"/>
          <w:i w:val="0"/>
          <w:u w:val="none"/>
        </w:rPr>
        <w:t xml:space="preserve">Если все указанные выше условия верны, ответьте «Подтверждаю согласие» до </w:t>
      </w:r>
      <w:r>
        <w:rPr>
          <w:b/>
          <w:i w:val="0"/>
          <w:u w:val="none"/>
        </w:rPr>
        <w:t xml:space="preserve">17:00 этой пятницы</w:t>
      </w:r>
      <w:r>
        <w:rPr>
          <w:b w:val="0"/>
          <w:i w:val="0"/>
          <w:u w:val="none"/>
        </w:rPr>
        <w:t xml:space="preserve">. После получения подтверждения наша команда незамедлительно зарезервирует товар и начнёт подготовку упаковки и отгрузки.</w:t>
      </w:r>
    </w:p>
    <w:p>
      <w:r>
        <w:rPr>
          <w:b w:val="0"/>
          <w:i w:val="0"/>
          <w:u w:val="none"/>
        </w:rPr>
        <w:t xml:space="preserve">С наилучшими пожеланиями,</w:t>
      </w:r>
    </w:p>
    <w:p>
      <w:r>
        <w:rPr>
          <w:b w:val="0"/>
          <w:i w:val="0"/>
          <w:u w:val="none"/>
        </w:rPr>
        <w:t xml:space="preserve">Команда «Экваланг»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Вымышленный демонстрационный материал — не является подтверждением реальной сделки</w:t>
    </w:r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 xml:space="preserve">Команда «Экваланг» — подтверждение поставки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