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NotoSerif" w:hAnsi="NotoSerif" w:eastAsia="NotoSerif"/>
          <w:b w:val="0"/>
          <w:i w:val="0"/>
          <w:u w:val="none"/>
        </w:rPr>
        <w:t xml:space="preserve">Bevestiging van levering en verzending van keramische producten</w:t>
      </w:r>
    </w:p>
    <w:p>
      <w:r>
        <w:rPr>
          <w:rFonts w:ascii="NotoSerif" w:hAnsi="NotoSerif" w:eastAsia="NotoSerif"/>
          <w:b w:val="0"/>
          <w:i w:val="0"/>
          <w:u w:val="none"/>
        </w:rPr>
        <w:t xml:space="preserve">Bedankt voor uw recente aanvraag. Dit document dient ter bevestiging van de specifieke leveringsdetails, het leveringsschema en de betalingsvoorwaarden voor de bestelling van keramische producten die u binnenkort wilt plaatsen. Controleer voordat we de definitieve orderverwerking starten of de artikelen, hoeveelheden en prijzen in de onderstaande tabel correct zijn.</w:t>
      </w:r>
    </w:p>
    <w:p>
      <w:pPr>
        <w:pStyle w:val="Heading1"/>
      </w:pPr>
      <w:r>
        <w:rPr>
          <w:rFonts w:ascii="NotoSerif" w:hAnsi="NotoSerif" w:eastAsia="NotoSerif"/>
          <w:b w:val="0"/>
          <w:i w:val="0"/>
          <w:u w:val="none"/>
        </w:rPr>
        <w:t xml:space="preserve">I. Productspecificaties en prijsopgave</w:t>
      </w:r>
    </w:p>
    <w:p>
      <w:r>
        <w:rPr>
          <w:rFonts w:ascii="NotoSerif" w:hAnsi="NotoSerif" w:eastAsia="NotoSerif"/>
          <w:b w:val="0"/>
          <w:i w:val="0"/>
          <w:u w:val="none"/>
        </w:rPr>
        <w:t xml:space="preserve">In de onderstaande tabel staan de details van de keramische artikelen die voor u zijn gereserveerd in deze partij. Alle eenheidsprijzen zijn vermeld in Amerikaanse dollars (USD) en zijn inclusief de standaard exportverpakking ter bescherming van breekbare goederen tegen schade tijdens het transport.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037"/>
        <w:gridCol w:w="3528"/>
        <w:gridCol w:w="1267"/>
        <w:gridCol w:w="1512"/>
        <w:gridCol w:w="1584"/>
      </w:tblGrid>
      <w:tr>
        <w:tc>
          <w:tcPr>
            <w:tcW w:type="dxa" w:w="1037"/>
            <w:shd w:fill="DDEBF7"/>
          </w:tcPr>
          <w:p>
            <w:pPr>
              <w:spacing w:after="80" w:before="80"/>
            </w:pPr>
            <w:r>
              <w:rPr>
                <w:rFonts w:ascii="NotoSerif" w:hAnsi="NotoSerif" w:eastAsia="NotoSerif"/>
                <w:b/>
                <w:i w:val="0"/>
                <w:u w:val="none"/>
              </w:rPr>
              <w:t xml:space="preserve">Artikelnummer</w:t>
            </w:r>
          </w:p>
        </w:tc>
        <w:tc>
          <w:tcPr>
            <w:tcW w:type="dxa" w:w="3528"/>
            <w:shd w:fill="DDEBF7"/>
          </w:tcPr>
          <w:p>
            <w:pPr>
              <w:spacing w:after="80" w:before="80"/>
            </w:pPr>
            <w:r>
              <w:rPr>
                <w:rFonts w:ascii="NotoSerif" w:hAnsi="NotoSerif" w:eastAsia="NotoSerif"/>
                <w:b/>
                <w:i w:val="0"/>
                <w:u w:val="none"/>
              </w:rPr>
              <w:t xml:space="preserve">Productnaam</w:t>
            </w:r>
          </w:p>
        </w:tc>
        <w:tc>
          <w:tcPr>
            <w:tcW w:type="dxa" w:w="1267"/>
            <w:shd w:fill="DDEBF7"/>
          </w:tcPr>
          <w:p>
            <w:pPr>
              <w:spacing w:after="80" w:before="80"/>
            </w:pPr>
            <w:r>
              <w:rPr>
                <w:rFonts w:ascii="NotoSerif" w:hAnsi="NotoSerif" w:eastAsia="NotoSerif"/>
                <w:b/>
                <w:i w:val="0"/>
                <w:u w:val="none"/>
              </w:rPr>
              <w:t xml:space="preserve">Aantal</w:t>
            </w:r>
          </w:p>
        </w:tc>
        <w:tc>
          <w:tcPr>
            <w:tcW w:type="dxa" w:w="1512"/>
            <w:shd w:fill="DDEBF7"/>
          </w:tcPr>
          <w:p>
            <w:pPr>
              <w:spacing w:after="80" w:before="80"/>
            </w:pPr>
            <w:r>
              <w:rPr>
                <w:rFonts w:ascii="NotoSerif" w:hAnsi="NotoSerif" w:eastAsia="NotoSerif"/>
                <w:b/>
                <w:i w:val="0"/>
                <w:u w:val="none"/>
              </w:rPr>
              <w:t xml:space="preserve">Eenheidsprijs (USD)</w:t>
            </w:r>
          </w:p>
        </w:tc>
        <w:tc>
          <w:tcPr>
            <w:tcW w:type="dxa" w:w="1584"/>
            <w:shd w:fill="DDEBF7"/>
          </w:tcPr>
          <w:p>
            <w:pPr>
              <w:spacing w:after="80" w:before="80"/>
            </w:pPr>
            <w:r>
              <w:rPr>
                <w:rFonts w:ascii="NotoSerif" w:hAnsi="NotoSerif" w:eastAsia="NotoSerif"/>
                <w:b/>
                <w:i w:val="0"/>
                <w:u w:val="none"/>
              </w:rPr>
              <w:t xml:space="preserve">Totaalprijs (USD)</w:t>
            </w:r>
          </w:p>
        </w:tc>
      </w:tr>
      <w:tr>
        <w:tc>
          <w:tcPr>
            <w:tcW w:type="dxa" w:w="1037"/>
          </w:tcPr>
          <w:p>
            <w:pPr>
              <w:spacing w:after="80" w:before="80"/>
            </w:pPr>
            <w:r>
              <w:rPr>
                <w:rFonts w:ascii="NotoSerif" w:hAnsi="NotoSerif" w:eastAsia="NotoSerif"/>
                <w:b w:val="0"/>
                <w:i w:val="0"/>
                <w:u w:val="none"/>
              </w:rPr>
              <w:t xml:space="preserve">TC-101</w:t>
            </w:r>
          </w:p>
        </w:tc>
        <w:tc>
          <w:tcPr>
            <w:tcW w:type="dxa" w:w="3528"/>
          </w:tcPr>
          <w:p>
            <w:pPr>
              <w:spacing w:after="80" w:before="80"/>
            </w:pPr>
            <w:r>
              <w:rPr>
                <w:rFonts w:ascii="NotoSerif" w:hAnsi="NotoSerif" w:eastAsia="NotoSerif"/>
                <w:b w:val="0"/>
                <w:i w:val="0"/>
                <w:u w:val="none"/>
              </w:rPr>
              <w:t xml:space="preserve">Set geglazuurde dinerborden</w:t>
            </w:r>
          </w:p>
        </w:tc>
        <w:tc>
          <w:tcPr>
            <w:tcW w:type="dxa" w:w="1267"/>
          </w:tcPr>
          <w:p>
            <w:pPr>
              <w:spacing w:after="80" w:before="80"/>
            </w:pPr>
            <w:r>
              <w:rPr>
                <w:rFonts w:ascii="NotoSerif" w:hAnsi="NotoSerif" w:eastAsia="NotoSerif"/>
                <w:b w:val="0"/>
                <w:i w:val="0"/>
                <w:u w:val="none"/>
              </w:rPr>
              <w:t xml:space="preserve">500</w:t>
            </w:r>
          </w:p>
        </w:tc>
        <w:tc>
          <w:tcPr>
            <w:tcW w:type="dxa" w:w="1512"/>
          </w:tcPr>
          <w:p>
            <w:pPr>
              <w:spacing w:after="80" w:before="80"/>
            </w:pPr>
            <w:r>
              <w:rPr>
                <w:rFonts w:ascii="NotoSerif" w:hAnsi="NotoSerif" w:eastAsia="NotoSerif"/>
                <w:b w:val="0"/>
                <w:i w:val="0"/>
                <w:u w:val="none"/>
              </w:rPr>
              <w:t xml:space="preserve">6.50</w:t>
            </w:r>
          </w:p>
        </w:tc>
        <w:tc>
          <w:tcPr>
            <w:tcW w:type="dxa" w:w="1584"/>
          </w:tcPr>
          <w:p>
            <w:pPr>
              <w:spacing w:after="80" w:before="80"/>
            </w:pPr>
            <w:r>
              <w:rPr>
                <w:rFonts w:ascii="NotoSerif" w:hAnsi="NotoSerif" w:eastAsia="NotoSerif"/>
                <w:b w:val="0"/>
                <w:i w:val="0"/>
                <w:u w:val="none"/>
              </w:rPr>
              <w:t xml:space="preserve">3,250.00</w:t>
            </w:r>
          </w:p>
        </w:tc>
      </w:tr>
      <w:tr>
        <w:tc>
          <w:tcPr>
            <w:tcW w:type="dxa" w:w="1037"/>
          </w:tcPr>
          <w:p>
            <w:pPr>
              <w:spacing w:after="80" w:before="80"/>
            </w:pPr>
            <w:r>
              <w:rPr>
                <w:rFonts w:ascii="NotoSerif" w:hAnsi="NotoSerif" w:eastAsia="NotoSerif"/>
                <w:b w:val="0"/>
                <w:i w:val="0"/>
                <w:u w:val="none"/>
              </w:rPr>
              <w:t xml:space="preserve">TC-102</w:t>
            </w:r>
          </w:p>
        </w:tc>
        <w:tc>
          <w:tcPr>
            <w:tcW w:type="dxa" w:w="3528"/>
          </w:tcPr>
          <w:p>
            <w:pPr>
              <w:spacing w:after="80" w:before="80"/>
            </w:pPr>
            <w:r>
              <w:rPr>
                <w:rFonts w:ascii="NotoSerif" w:hAnsi="NotoSerif" w:eastAsia="NotoSerif"/>
                <w:b w:val="0"/>
                <w:i w:val="0"/>
                <w:u w:val="none"/>
              </w:rPr>
              <w:t xml:space="preserve">Handgemaakt theeservies van wit porselein</w:t>
            </w:r>
          </w:p>
        </w:tc>
        <w:tc>
          <w:tcPr>
            <w:tcW w:type="dxa" w:w="1267"/>
          </w:tcPr>
          <w:p>
            <w:pPr>
              <w:spacing w:after="80" w:before="80"/>
            </w:pPr>
            <w:r>
              <w:rPr>
                <w:rFonts w:ascii="NotoSerif" w:hAnsi="NotoSerif" w:eastAsia="NotoSerif"/>
                <w:b w:val="0"/>
                <w:i w:val="0"/>
                <w:u w:val="none"/>
              </w:rPr>
              <w:t xml:space="preserve">200</w:t>
            </w:r>
          </w:p>
        </w:tc>
        <w:tc>
          <w:tcPr>
            <w:tcW w:type="dxa" w:w="1512"/>
          </w:tcPr>
          <w:p>
            <w:pPr>
              <w:spacing w:after="80" w:before="80"/>
            </w:pPr>
            <w:r>
              <w:rPr>
                <w:rFonts w:ascii="NotoSerif" w:hAnsi="NotoSerif" w:eastAsia="NotoSerif"/>
                <w:b w:val="0"/>
                <w:i w:val="0"/>
                <w:u w:val="none"/>
              </w:rPr>
              <w:t xml:space="preserve">17.50</w:t>
            </w:r>
          </w:p>
        </w:tc>
        <w:tc>
          <w:tcPr>
            <w:tcW w:type="dxa" w:w="1584"/>
          </w:tcPr>
          <w:p>
            <w:pPr>
              <w:spacing w:after="80" w:before="80"/>
            </w:pPr>
            <w:r>
              <w:rPr>
                <w:rFonts w:ascii="NotoSerif" w:hAnsi="NotoSerif" w:eastAsia="NotoSerif"/>
                <w:b w:val="0"/>
                <w:i w:val="0"/>
                <w:u w:val="none"/>
              </w:rPr>
              <w:t xml:space="preserve">3,500.00</w:t>
            </w:r>
          </w:p>
        </w:tc>
      </w:tr>
      <w:tr>
        <w:tc>
          <w:tcPr>
            <w:tcW w:type="dxa" w:w="1037"/>
          </w:tcPr>
          <w:p>
            <w:pPr>
              <w:spacing w:after="80" w:before="80"/>
            </w:pPr>
            <w:r>
              <w:rPr>
                <w:rFonts w:ascii="NotoSerif" w:hAnsi="NotoSerif" w:eastAsia="NotoSerif"/>
                <w:b w:val="0"/>
                <w:i w:val="0"/>
                <w:u w:val="none"/>
              </w:rPr>
              <w:t xml:space="preserve">TC-103</w:t>
            </w:r>
          </w:p>
        </w:tc>
        <w:tc>
          <w:tcPr>
            <w:tcW w:type="dxa" w:w="3528"/>
          </w:tcPr>
          <w:p>
            <w:pPr>
              <w:spacing w:after="80" w:before="80"/>
            </w:pPr>
            <w:r>
              <w:rPr>
                <w:rFonts w:ascii="NotoSerif" w:hAnsi="NotoSerif" w:eastAsia="NotoSerif"/>
                <w:b w:val="0"/>
                <w:i w:val="0"/>
                <w:u w:val="none"/>
              </w:rPr>
              <w:t xml:space="preserve">Minimalistische vaas</w:t>
            </w:r>
          </w:p>
        </w:tc>
        <w:tc>
          <w:tcPr>
            <w:tcW w:type="dxa" w:w="1267"/>
          </w:tcPr>
          <w:p>
            <w:pPr>
              <w:spacing w:after="80" w:before="80"/>
            </w:pPr>
            <w:r>
              <w:rPr>
                <w:rFonts w:ascii="NotoSerif" w:hAnsi="NotoSerif" w:eastAsia="NotoSerif"/>
                <w:b w:val="0"/>
                <w:i w:val="0"/>
                <w:u w:val="none"/>
              </w:rPr>
              <w:t xml:space="preserve">150</w:t>
            </w:r>
          </w:p>
        </w:tc>
        <w:tc>
          <w:tcPr>
            <w:tcW w:type="dxa" w:w="1512"/>
          </w:tcPr>
          <w:p>
            <w:pPr>
              <w:spacing w:after="80" w:before="80"/>
            </w:pPr>
            <w:r>
              <w:rPr>
                <w:rFonts w:ascii="NotoSerif" w:hAnsi="NotoSerif" w:eastAsia="NotoSerif"/>
                <w:b w:val="0"/>
                <w:i w:val="0"/>
                <w:u w:val="none"/>
              </w:rPr>
              <w:t xml:space="preserve">12.00</w:t>
            </w:r>
          </w:p>
        </w:tc>
        <w:tc>
          <w:tcPr>
            <w:tcW w:type="dxa" w:w="1584"/>
          </w:tcPr>
          <w:p>
            <w:pPr>
              <w:spacing w:after="80" w:before="80"/>
            </w:pPr>
            <w:r>
              <w:rPr>
                <w:rFonts w:ascii="NotoSerif" w:hAnsi="NotoSerif" w:eastAsia="NotoSerif"/>
                <w:b w:val="0"/>
                <w:i w:val="0"/>
                <w:u w:val="none"/>
              </w:rPr>
              <w:t xml:space="preserve">1,800.00</w:t>
            </w:r>
          </w:p>
        </w:tc>
      </w:tr>
    </w:tbl>
    <w:p>
      <w:r>
        <w:rPr>
          <w:rFonts w:ascii="NotoSerif" w:hAnsi="NotoSerif" w:eastAsia="NotoSerif"/>
          <w:b w:val="0"/>
          <w:i/>
          <w:u w:val="none"/>
        </w:rPr>
        <w:t xml:space="preserve">Opmerking: de totale waarde van deze bestelling bedraagt USD 8,550.00. Voor het bedrukken van een aangepast merklogo of het toevoegen van speciale winkellabels brengen we indien nodig een kleine toeslag in rekening.</w:t>
      </w:r>
    </w:p>
    <w:p>
      <w:pPr>
        <w:pStyle w:val="Heading1"/>
      </w:pPr>
      <w:r>
        <w:rPr>
          <w:rFonts w:ascii="NotoSerif" w:hAnsi="NotoSerif" w:eastAsia="NotoSerif"/>
          <w:b w:val="0"/>
          <w:i w:val="0"/>
          <w:u w:val="none"/>
        </w:rPr>
        <w:t xml:space="preserve">II. Verpakkingsnormen en leveringsschema</w:t>
      </w:r>
    </w:p>
    <w:p>
      <w:r>
        <w:rPr>
          <w:rFonts w:ascii="NotoSerif" w:hAnsi="NotoSerif" w:eastAsia="NotoSerif"/>
          <w:b w:val="0"/>
          <w:i w:val="0"/>
          <w:u w:val="none"/>
        </w:rPr>
        <w:t xml:space="preserve">Om ervoor te zorgen dat de breekbare goederen veilig aankomen, hebben we de volgende logistieke en verpakkingsnormen geregeld:</w:t>
      </w:r>
    </w:p>
    <w:p>
      <w:pPr>
        <w:pStyle w:val="ListBullet"/>
      </w:pPr>
      <w:r>
        <w:rPr>
          <w:rFonts w:ascii="NotoSerif" w:hAnsi="NotoSerif" w:eastAsia="NotoSerif"/>
          <w:b/>
          <w:i w:val="0"/>
          <w:u w:val="none"/>
        </w:rPr>
        <w:t xml:space="preserve">Beschermende verpakking</w:t>
      </w:r>
      <w:r>
        <w:rPr>
          <w:rFonts w:ascii="NotoSerif" w:hAnsi="NotoSerif" w:eastAsia="NotoSerif"/>
          <w:b w:val="0"/>
          <w:i w:val="0"/>
          <w:u w:val="none"/>
        </w:rPr>
        <w:t xml:space="preserve">：Elk product wordt afzonderlijk verpakt in een </w:t>
      </w:r>
      <w:r>
        <w:rPr>
          <w:rFonts w:ascii="NotoSerif" w:hAnsi="NotoSerif" w:eastAsia="NotoSerif"/>
          <w:b w:val="0"/>
          <w:i w:val="0"/>
          <w:color w:val="005C4D"/>
          <w:u w:val="single"/>
        </w:rPr>
        <w:t xml:space="preserve">verstevigde vijflaags golfkartonnen doos</w:t>
      </w:r>
      <w:r>
        <w:rPr>
          <w:rFonts w:ascii="NotoSerif" w:hAnsi="NotoSerif" w:eastAsia="NotoSerif"/>
          <w:b w:val="0"/>
          <w:i w:val="0"/>
          <w:u w:val="none"/>
        </w:rPr>
        <w:t xml:space="preserve"> met op maat gemaakt schokabsorberend schuim.</w:t>
      </w:r>
    </w:p>
    <w:p>
      <w:pPr>
        <w:pStyle w:val="ListBullet"/>
      </w:pPr>
      <w:r>
        <w:rPr>
          <w:rFonts w:ascii="NotoSerif" w:hAnsi="NotoSerif" w:eastAsia="NotoSerif"/>
          <w:b/>
          <w:i w:val="0"/>
          <w:u w:val="none"/>
        </w:rPr>
        <w:t xml:space="preserve">Voorwaarden voor zeetransport</w:t>
      </w:r>
      <w:r>
        <w:rPr>
          <w:rFonts w:ascii="NotoSerif" w:hAnsi="NotoSerif" w:eastAsia="NotoSerif"/>
          <w:b w:val="0"/>
          <w:i w:val="0"/>
          <w:u w:val="none"/>
        </w:rPr>
        <w:t xml:space="preserve">：Deze transactie wordt uitgevoerd volgens de standaard FOB-voorwaarden, haven van Shenzhen (FOB Shenzhen Port).</w:t>
      </w:r>
    </w:p>
    <w:p>
      <w:pPr>
        <w:pStyle w:val="ListBullet"/>
      </w:pPr>
      <w:r>
        <w:rPr>
          <w:rFonts w:ascii="NotoSerif" w:hAnsi="NotoSerif" w:eastAsia="NotoSerif"/>
          <w:b/>
          <w:i w:val="0"/>
          <w:u w:val="none"/>
        </w:rPr>
        <w:t xml:space="preserve">Levertijd na bestelling</w:t>
      </w:r>
      <w:r>
        <w:rPr>
          <w:rFonts w:ascii="NotoSerif" w:hAnsi="NotoSerif" w:eastAsia="NotoSerif"/>
          <w:b w:val="0"/>
          <w:i w:val="0"/>
          <w:u w:val="none"/>
        </w:rPr>
        <w:t xml:space="preserve">：Na ontvangst van uw bevestiging wordt de goederen binnen </w:t>
      </w:r>
      <w:r>
        <w:rPr>
          <w:rFonts w:ascii="NotoSerif" w:hAnsi="NotoSerif" w:eastAsia="NotoSerif"/>
          <w:b/>
          <w:i w:val="0"/>
          <w:u w:val="none"/>
        </w:rPr>
        <w:t xml:space="preserve">10 werkdagen</w:t>
      </w:r>
      <w:r>
        <w:rPr>
          <w:rFonts w:ascii="NotoSerif" w:hAnsi="NotoSerif" w:eastAsia="NotoSerif"/>
          <w:b w:val="0"/>
          <w:i w:val="0"/>
          <w:u w:val="none"/>
        </w:rPr>
        <w:t xml:space="preserve"> naar de aangewezen exportterminal vervoerd.</w:t>
      </w:r>
    </w:p>
    <w:p>
      <w:pPr>
        <w:pStyle w:val="ListBullet"/>
      </w:pPr>
      <w:r>
        <w:rPr>
          <w:rFonts w:ascii="NotoSerif" w:hAnsi="NotoSerif" w:eastAsia="NotoSerif"/>
          <w:b/>
          <w:i w:val="0"/>
          <w:u w:val="none"/>
        </w:rPr>
        <w:t xml:space="preserve">Inspectie vóór verzending</w:t>
      </w:r>
      <w:r>
        <w:rPr>
          <w:rFonts w:ascii="NotoSerif" w:hAnsi="NotoSerif" w:eastAsia="NotoSerif"/>
          <w:b w:val="0"/>
          <w:i w:val="0"/>
          <w:u w:val="none"/>
        </w:rPr>
        <w:t xml:space="preserve">：Voordat de goederen worden ingepakt, verstrekken we een inspectierapport vóór verzending met foto's van de daadwerkelijke producten.</w:t>
      </w:r>
    </w:p>
    <w:p>
      <w:pPr>
        <w:pStyle w:val="Heading1"/>
      </w:pPr>
      <w:r>
        <w:rPr>
          <w:rFonts w:ascii="NotoSerif" w:hAnsi="NotoSerif" w:eastAsia="NotoSerif"/>
          <w:b w:val="0"/>
          <w:i w:val="0"/>
          <w:u w:val="none"/>
        </w:rPr>
        <w:t xml:space="preserve">III. Betalingsschema en vervolgstappen</w:t>
      </w:r>
    </w:p>
    <w:p>
      <w:r>
        <w:rPr>
          <w:rFonts w:ascii="NotoSerif" w:hAnsi="NotoSerif" w:eastAsia="NotoSerif"/>
          <w:b w:val="0"/>
          <w:i w:val="0"/>
          <w:u w:val="none"/>
        </w:rPr>
        <w:t xml:space="preserve">Om de bestelling te bevestigen en de productieplanning vast te leggen, verzoeken we u de betalingen volgens het onderstaande schema te verrichten:</w:t>
      </w:r>
    </w:p>
    <w:p>
      <w:pPr>
        <w:pStyle w:val="ListNumber"/>
      </w:pPr>
      <w:r>
        <w:rPr>
          <w:rFonts w:ascii="NotoSerif" w:hAnsi="NotoSerif" w:eastAsia="NotoSerif"/>
          <w:b w:val="0"/>
          <w:i w:val="0"/>
          <w:u w:val="none"/>
        </w:rPr>
        <w:t xml:space="preserve">Betaal vóór aanvang van de productie en het gereedmaken van de goederen een aanbetaling van 30% van het bestelbedrag (oftewel USD 2,565.00).</w:t>
      </w:r>
    </w:p>
    <w:p>
      <w:pPr>
        <w:pStyle w:val="ListNumber"/>
      </w:pPr>
      <w:r>
        <w:rPr>
          <w:rFonts w:ascii="NotoSerif" w:hAnsi="NotoSerif" w:eastAsia="NotoSerif"/>
          <w:b w:val="0"/>
          <w:i w:val="0"/>
          <w:u w:val="none"/>
        </w:rPr>
        <w:t xml:space="preserve">Het resterende saldo van 70% (oftewel USD 5,985.00) dient u binnen </w:t>
      </w:r>
      <w:r>
        <w:rPr>
          <w:rFonts w:ascii="NotoSerif" w:hAnsi="NotoSerif" w:eastAsia="NotoSerif"/>
          <w:b/>
          <w:i w:val="0"/>
          <w:u w:val="none"/>
        </w:rPr>
        <w:t xml:space="preserve">5 dagen na ontvangst van een kopie van de vrachtbrief (B/L)</w:t>
      </w:r>
      <w:r>
        <w:rPr>
          <w:rFonts w:ascii="NotoSerif" w:hAnsi="NotoSerif" w:eastAsia="NotoSerif"/>
          <w:b w:val="0"/>
          <w:i w:val="0"/>
          <w:u w:val="none"/>
        </w:rPr>
        <w:t xml:space="preserve"> volledig te voldoen.</w:t>
      </w:r>
    </w:p>
    <w:p>
      <w:r>
        <w:rPr>
          <w:rFonts w:ascii="NotoSerif" w:hAnsi="NotoSerif" w:eastAsia="NotoSerif"/>
          <w:b w:val="0"/>
          <w:i w:val="0"/>
          <w:u w:val="none"/>
        </w:rPr>
        <w:t xml:space="preserve">Als alle bovenstaande voorwaarden correct zijn, verzoeken we u vóór </w:t>
      </w:r>
      <w:r>
        <w:rPr>
          <w:rFonts w:ascii="NotoSerif" w:hAnsi="NotoSerif" w:eastAsia="NotoSerif"/>
          <w:b/>
          <w:i w:val="0"/>
          <w:u w:val="none"/>
        </w:rPr>
        <w:t xml:space="preserve">17.00 uur aanstaande vrijdag</w:t>
      </w:r>
      <w:r>
        <w:rPr>
          <w:rFonts w:ascii="NotoSerif" w:hAnsi="NotoSerif" w:eastAsia="NotoSerif"/>
          <w:b w:val="0"/>
          <w:i w:val="0"/>
          <w:u w:val="none"/>
        </w:rPr>
        <w:t xml:space="preserve"> te antwoorden met “Akkoord”. Zodra we uw bevestiging hebben ontvangen, reserveert ons team onmiddellijk de voorraad en start het met het verpakkings- en verzendproces.</w:t>
      </w:r>
    </w:p>
    <w:p>
      <w:r>
        <w:rPr>
          <w:rFonts w:ascii="NotoSerif" w:hAnsi="NotoSerif" w:eastAsia="NotoSerif"/>
          <w:b w:val="0"/>
          <w:i w:val="0"/>
          <w:u w:val="none"/>
        </w:rPr>
        <w:t xml:space="preserve">Met vriendelijke groet,</w:t>
      </w:r>
    </w:p>
    <w:p>
      <w:r>
        <w:rPr>
          <w:rFonts w:ascii="NotoSerif" w:hAnsi="NotoSerif" w:eastAsia="NotoSerif"/>
          <w:b w:val="0"/>
          <w:i w:val="0"/>
          <w:u w:val="none"/>
        </w:rPr>
        <w:t xml:space="preserve">Team Equalang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893" w:right="1037" w:bottom="893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NotoSerif" w:hAnsi="NotoSerif" w:eastAsia="NotoSerif"/>
        <w:sz w:val="16"/>
      </w:rPr>
      <w:t xml:space="preserve">Fictief demonstratiemateriaal - geen echt transactie bewijsstuk</w:t>
    </w:r>
    <w:r>
      <w:rPr>
        <w:rFonts w:ascii="NotoSerif" w:hAnsi="NotoSerif" w:eastAsia="NotoSerif"/>
      </w:rPr>
      <w:t xml:space="preserve">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NotoSerif" w:hAnsi="NotoSerif" w:eastAsia="NotoSerif"/>
        <w:sz w:val="16"/>
      </w:rPr>
      <w:t xml:space="preserve">Team Equalang - Bevestiging van levering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40" w:lineRule="auto" w:after="80"/>
    </w:pPr>
    <w:rPr>
      <w:rFonts w:ascii="Arial Unicode MS" w:hAnsi="Arial Unicode MS" w:eastAsia="Arial Unicode MS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20" w:after="80" w:line="240" w:lineRule="auto"/>
      <w:outlineLvl w:val="0"/>
    </w:pPr>
    <w:rPr>
      <w:rFonts w:asciiTheme="majorHAnsi" w:eastAsiaTheme="majorEastAsia" w:hAnsiTheme="majorHAnsi" w:cstheme="majorBidi" w:ascii="Arial Unicode MS" w:hAnsi="Arial Unicode MS" w:eastAsia="Arial Unicode MS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40" w:lineRule="auto"/>
      <w:contextualSpacing/>
    </w:pPr>
    <w:rPr>
      <w:rFonts w:asciiTheme="majorHAnsi" w:eastAsiaTheme="majorEastAsia" w:hAnsiTheme="majorHAnsi" w:cstheme="majorBidi" w:ascii="Arial Unicode MS" w:hAnsi="Arial Unicode MS" w:eastAsia="Arial Unicode MS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40" w:lineRule="auto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40" w:lineRule="auto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陶瓷产品供货与发货确认单</dc:title>
  <dc:subject/>
  <dc:creator>Equalang</dc:creator>
  <cp:keywords/>
  <dc:description>本文档由 Equalang AI 翻译（equalang.com）生成，内容仅供参考。
This document was translated by Equalang AI (equalang.com) and is for informational purposes only.</dc:description>
  <cp:lastModifiedBy>Equalang</cp:lastModifiedBy>
  <cp:revision>1</cp:revision>
  <dcterms:created xsi:type="dcterms:W3CDTF">2013-12-23T23:15:00Z</dcterms:created>
  <dcterms:modified xsi:type="dcterms:W3CDTF">2013-12-23T23:15:00Z</dcterms:modified>
  <cp:category/>
</cp:coreProperties>
</file>