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Times New Roman" w:hAnsi="Times New Roman" w:eastAsia="Times New Roman"/>
          <w:b w:val="0"/>
          <w:i w:val="0"/>
          <w:u w:val="none"/>
        </w:rPr>
        <w:t xml:space="preserve">Conferma di fornitura e spedizione di prodotti in ceramica</w:t>
      </w:r>
    </w:p>
    <w:p>
      <w:r>
        <w:rPr>
          <w:rFonts w:ascii="Times New Roman" w:hAnsi="Times New Roman" w:eastAsia="Times New Roman"/>
          <w:b w:val="0"/>
          <w:i w:val="0"/>
          <w:u w:val="none"/>
        </w:rPr>
        <w:t xml:space="preserve">Grazie per la vostra recente richiesta di preventivo. Il presente documento ha lo scopo di confermare i dettagli specifici della fornitura, il programma di consegna e le condizioni di pagamento dell’ordine di prodotti in ceramica che intendete effettuare. Prima di procedere con l’elaborazione dell’ordine definitivo, verificate che gli articoli, le quantità e i prezzi indicati nella tabella sottostante siano corretti.</w:t>
      </w:r>
    </w:p>
    <w:p>
      <w:pPr>
        <w:pStyle w:val="Heading1"/>
      </w:pPr>
      <w:r>
        <w:rPr>
          <w:rFonts w:ascii="Times New Roman" w:hAnsi="Times New Roman" w:eastAsia="Times New Roman"/>
          <w:b w:val="0"/>
          <w:i w:val="0"/>
          <w:u w:val="none"/>
        </w:rPr>
        <w:t xml:space="preserve">I. Specifiche dei prodotti e dettagli dei prezzi</w:t>
      </w:r>
    </w:p>
    <w:p>
      <w:r>
        <w:rPr>
          <w:rFonts w:ascii="Times New Roman" w:hAnsi="Times New Roman" w:eastAsia="Times New Roman"/>
          <w:b w:val="0"/>
          <w:i w:val="0"/>
          <w:u w:val="none"/>
        </w:rPr>
        <w:t xml:space="preserve">La tabella seguente elenca i prodotti in ceramica riservati per voi per questa partita. Tutti i prezzi unitari sono espressi in dollari statunitensi (USD) e includono i costi dell’imballaggio protettivo standard per l’esportazione, volto a evitare danni agli articoli fragili durante il trasporto.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037"/>
        <w:gridCol w:w="3528"/>
        <w:gridCol w:w="1267"/>
        <w:gridCol w:w="1512"/>
        <w:gridCol w:w="1584"/>
      </w:tblGrid>
      <w:tr>
        <w:tc>
          <w:tcPr>
            <w:tcW w:type="dxa" w:w="1037"/>
            <w:shd w:fill="DDEBF7"/>
          </w:tcPr>
          <w:p>
            <w:pPr>
              <w:spacing w:after="80" w:before="80"/>
            </w:pPr>
            <w:r>
              <w:rPr>
                <w:rFonts w:ascii="Times New Roman" w:hAnsi="Times New Roman" w:eastAsia="Times New Roman"/>
                <w:b/>
                <w:i w:val="0"/>
                <w:u w:val="none"/>
              </w:rPr>
              <w:t xml:space="preserve">Codice articolo</w:t>
            </w:r>
          </w:p>
        </w:tc>
        <w:tc>
          <w:tcPr>
            <w:tcW w:type="dxa" w:w="3528"/>
            <w:shd w:fill="DDEBF7"/>
          </w:tcPr>
          <w:p>
            <w:pPr>
              <w:spacing w:after="80" w:before="80"/>
            </w:pPr>
            <w:r>
              <w:rPr>
                <w:rFonts w:ascii="Times New Roman" w:hAnsi="Times New Roman" w:eastAsia="Times New Roman"/>
                <w:b/>
                <w:i w:val="0"/>
                <w:u w:val="none"/>
              </w:rPr>
              <w:t xml:space="preserve">Nome del prodotto</w:t>
            </w:r>
          </w:p>
        </w:tc>
        <w:tc>
          <w:tcPr>
            <w:tcW w:type="dxa" w:w="1267"/>
            <w:shd w:fill="DDEBF7"/>
          </w:tcPr>
          <w:p>
            <w:pPr>
              <w:spacing w:after="80" w:before="80"/>
            </w:pPr>
            <w:r>
              <w:rPr>
                <w:rFonts w:ascii="Times New Roman" w:hAnsi="Times New Roman" w:eastAsia="Times New Roman"/>
                <w:b/>
                <w:i w:val="0"/>
                <w:u w:val="none"/>
              </w:rPr>
              <w:t xml:space="preserve">Quantità</w:t>
            </w:r>
          </w:p>
        </w:tc>
        <w:tc>
          <w:tcPr>
            <w:tcW w:type="dxa" w:w="1512"/>
            <w:shd w:fill="DDEBF7"/>
          </w:tcPr>
          <w:p>
            <w:pPr>
              <w:spacing w:after="80" w:before="80"/>
            </w:pPr>
            <w:r>
              <w:rPr>
                <w:rFonts w:ascii="Times New Roman" w:hAnsi="Times New Roman" w:eastAsia="Times New Roman"/>
                <w:b/>
                <w:i w:val="0"/>
                <w:u w:val="none"/>
              </w:rPr>
              <w:t xml:space="preserve">Prezzo unitario (USD)</w:t>
            </w:r>
          </w:p>
        </w:tc>
        <w:tc>
          <w:tcPr>
            <w:tcW w:type="dxa" w:w="1584"/>
            <w:shd w:fill="DDEBF7"/>
          </w:tcPr>
          <w:p>
            <w:pPr>
              <w:spacing w:after="80" w:before="80"/>
            </w:pPr>
            <w:r>
              <w:rPr>
                <w:rFonts w:ascii="Times New Roman" w:hAnsi="Times New Roman" w:eastAsia="Times New Roman"/>
                <w:b/>
                <w:i w:val="0"/>
                <w:u w:val="none"/>
              </w:rPr>
              <w:t xml:space="preserve">Prezzo totale (USD)</w:t>
            </w:r>
          </w:p>
        </w:tc>
      </w:tr>
      <w:tr>
        <w:tc>
          <w:tcPr>
            <w:tcW w:type="dxa" w:w="1037"/>
          </w:tcPr>
          <w:p>
            <w:pPr>
              <w:spacing w:after="80" w:before="80"/>
            </w:pPr>
            <w:r>
              <w:rPr>
                <w:rFonts w:ascii="Times New Roman" w:hAnsi="Times New Roman" w:eastAsia="Times New Roman"/>
                <w:b w:val="0"/>
                <w:i w:val="0"/>
                <w:u w:val="none"/>
              </w:rPr>
              <w:t xml:space="preserve">TC-101</w:t>
            </w:r>
          </w:p>
        </w:tc>
        <w:tc>
          <w:tcPr>
            <w:tcW w:type="dxa" w:w="3528"/>
          </w:tcPr>
          <w:p>
            <w:pPr>
              <w:spacing w:after="80" w:before="80"/>
            </w:pPr>
            <w:r>
              <w:rPr>
                <w:rFonts w:ascii="Times New Roman" w:hAnsi="Times New Roman" w:eastAsia="Times New Roman"/>
                <w:b w:val="0"/>
                <w:i w:val="0"/>
                <w:u w:val="none"/>
              </w:rPr>
              <w:t xml:space="preserve">Set di piatti da portata smaltati</w:t>
            </w:r>
          </w:p>
        </w:tc>
        <w:tc>
          <w:tcPr>
            <w:tcW w:type="dxa" w:w="1267"/>
          </w:tcPr>
          <w:p>
            <w:pPr>
              <w:spacing w:after="80" w:before="80"/>
            </w:pPr>
            <w:r>
              <w:rPr>
                <w:rFonts w:ascii="Times New Roman" w:hAnsi="Times New Roman" w:eastAsia="Times New Roman"/>
                <w:b w:val="0"/>
                <w:i w:val="0"/>
                <w:u w:val="none"/>
              </w:rPr>
              <w:t xml:space="preserve">500</w:t>
            </w:r>
          </w:p>
        </w:tc>
        <w:tc>
          <w:tcPr>
            <w:tcW w:type="dxa" w:w="1512"/>
          </w:tcPr>
          <w:p>
            <w:pPr>
              <w:spacing w:after="80" w:before="80"/>
            </w:pPr>
            <w:r>
              <w:rPr>
                <w:rFonts w:ascii="Times New Roman" w:hAnsi="Times New Roman" w:eastAsia="Times New Roman"/>
                <w:b w:val="0"/>
                <w:i w:val="0"/>
                <w:u w:val="none"/>
              </w:rPr>
              <w:t xml:space="preserve">6.50</w:t>
            </w:r>
          </w:p>
        </w:tc>
        <w:tc>
          <w:tcPr>
            <w:tcW w:type="dxa" w:w="1584"/>
          </w:tcPr>
          <w:p>
            <w:pPr>
              <w:spacing w:after="80" w:before="80"/>
            </w:pPr>
            <w:r>
              <w:rPr>
                <w:rFonts w:ascii="Times New Roman" w:hAnsi="Times New Roman" w:eastAsia="Times New Roman"/>
                <w:b w:val="0"/>
                <w:i w:val="0"/>
                <w:u w:val="none"/>
              </w:rPr>
              <w:t xml:space="preserve">3,250.00</w:t>
            </w:r>
          </w:p>
        </w:tc>
      </w:tr>
      <w:tr>
        <w:tc>
          <w:tcPr>
            <w:tcW w:type="dxa" w:w="1037"/>
          </w:tcPr>
          <w:p>
            <w:pPr>
              <w:spacing w:after="80" w:before="80"/>
            </w:pPr>
            <w:r>
              <w:rPr>
                <w:rFonts w:ascii="Times New Roman" w:hAnsi="Times New Roman" w:eastAsia="Times New Roman"/>
                <w:b w:val="0"/>
                <w:i w:val="0"/>
                <w:u w:val="none"/>
              </w:rPr>
              <w:t xml:space="preserve">TC-102</w:t>
            </w:r>
          </w:p>
        </w:tc>
        <w:tc>
          <w:tcPr>
            <w:tcW w:type="dxa" w:w="3528"/>
          </w:tcPr>
          <w:p>
            <w:pPr>
              <w:spacing w:after="80" w:before="80"/>
            </w:pPr>
            <w:r>
              <w:rPr>
                <w:rFonts w:ascii="Times New Roman" w:hAnsi="Times New Roman" w:eastAsia="Times New Roman"/>
                <w:b w:val="0"/>
                <w:i w:val="0"/>
                <w:u w:val="none"/>
              </w:rPr>
              <w:t xml:space="preserve">Servizio da tè in porcellana bianca artigianale</w:t>
            </w:r>
          </w:p>
        </w:tc>
        <w:tc>
          <w:tcPr>
            <w:tcW w:type="dxa" w:w="1267"/>
          </w:tcPr>
          <w:p>
            <w:pPr>
              <w:spacing w:after="80" w:before="80"/>
            </w:pPr>
            <w:r>
              <w:rPr>
                <w:rFonts w:ascii="Times New Roman" w:hAnsi="Times New Roman" w:eastAsia="Times New Roman"/>
                <w:b w:val="0"/>
                <w:i w:val="0"/>
                <w:u w:val="none"/>
              </w:rPr>
              <w:t xml:space="preserve">200</w:t>
            </w:r>
          </w:p>
        </w:tc>
        <w:tc>
          <w:tcPr>
            <w:tcW w:type="dxa" w:w="1512"/>
          </w:tcPr>
          <w:p>
            <w:pPr>
              <w:spacing w:after="80" w:before="80"/>
            </w:pPr>
            <w:r>
              <w:rPr>
                <w:rFonts w:ascii="Times New Roman" w:hAnsi="Times New Roman" w:eastAsia="Times New Roman"/>
                <w:b w:val="0"/>
                <w:i w:val="0"/>
                <w:u w:val="none"/>
              </w:rPr>
              <w:t xml:space="preserve">17.50</w:t>
            </w:r>
          </w:p>
        </w:tc>
        <w:tc>
          <w:tcPr>
            <w:tcW w:type="dxa" w:w="1584"/>
          </w:tcPr>
          <w:p>
            <w:pPr>
              <w:spacing w:after="80" w:before="80"/>
            </w:pPr>
            <w:r>
              <w:rPr>
                <w:rFonts w:ascii="Times New Roman" w:hAnsi="Times New Roman" w:eastAsia="Times New Roman"/>
                <w:b w:val="0"/>
                <w:i w:val="0"/>
                <w:u w:val="none"/>
              </w:rPr>
              <w:t xml:space="preserve">3,500.00</w:t>
            </w:r>
          </w:p>
        </w:tc>
      </w:tr>
      <w:tr>
        <w:tc>
          <w:tcPr>
            <w:tcW w:type="dxa" w:w="1037"/>
          </w:tcPr>
          <w:p>
            <w:pPr>
              <w:spacing w:after="80" w:before="80"/>
            </w:pPr>
            <w:r>
              <w:rPr>
                <w:rFonts w:ascii="Times New Roman" w:hAnsi="Times New Roman" w:eastAsia="Times New Roman"/>
                <w:b w:val="0"/>
                <w:i w:val="0"/>
                <w:u w:val="none"/>
              </w:rPr>
              <w:t xml:space="preserve">TC-103</w:t>
            </w:r>
          </w:p>
        </w:tc>
        <w:tc>
          <w:tcPr>
            <w:tcW w:type="dxa" w:w="3528"/>
          </w:tcPr>
          <w:p>
            <w:pPr>
              <w:spacing w:after="80" w:before="80"/>
            </w:pPr>
            <w:r>
              <w:rPr>
                <w:rFonts w:ascii="Times New Roman" w:hAnsi="Times New Roman" w:eastAsia="Times New Roman"/>
                <w:b w:val="0"/>
                <w:i w:val="0"/>
                <w:u w:val="none"/>
              </w:rPr>
              <w:t xml:space="preserve">Vaso dal design essenziale</w:t>
            </w:r>
          </w:p>
        </w:tc>
        <w:tc>
          <w:tcPr>
            <w:tcW w:type="dxa" w:w="1267"/>
          </w:tcPr>
          <w:p>
            <w:pPr>
              <w:spacing w:after="80" w:before="80"/>
            </w:pPr>
            <w:r>
              <w:rPr>
                <w:rFonts w:ascii="Times New Roman" w:hAnsi="Times New Roman" w:eastAsia="Times New Roman"/>
                <w:b w:val="0"/>
                <w:i w:val="0"/>
                <w:u w:val="none"/>
              </w:rPr>
              <w:t xml:space="preserve">150</w:t>
            </w:r>
          </w:p>
        </w:tc>
        <w:tc>
          <w:tcPr>
            <w:tcW w:type="dxa" w:w="1512"/>
          </w:tcPr>
          <w:p>
            <w:pPr>
              <w:spacing w:after="80" w:before="80"/>
            </w:pPr>
            <w:r>
              <w:rPr>
                <w:rFonts w:ascii="Times New Roman" w:hAnsi="Times New Roman" w:eastAsia="Times New Roman"/>
                <w:b w:val="0"/>
                <w:i w:val="0"/>
                <w:u w:val="none"/>
              </w:rPr>
              <w:t xml:space="preserve">12.00</w:t>
            </w:r>
          </w:p>
        </w:tc>
        <w:tc>
          <w:tcPr>
            <w:tcW w:type="dxa" w:w="1584"/>
          </w:tcPr>
          <w:p>
            <w:pPr>
              <w:spacing w:after="80" w:before="80"/>
            </w:pPr>
            <w:r>
              <w:rPr>
                <w:rFonts w:ascii="Times New Roman" w:hAnsi="Times New Roman" w:eastAsia="Times New Roman"/>
                <w:b w:val="0"/>
                <w:i w:val="0"/>
                <w:u w:val="none"/>
              </w:rPr>
              <w:t xml:space="preserve">1,800.00</w:t>
            </w:r>
          </w:p>
        </w:tc>
      </w:tr>
    </w:tbl>
    <w:p>
      <w:r>
        <w:rPr>
          <w:rFonts w:ascii="Times New Roman" w:hAnsi="Times New Roman" w:eastAsia="Times New Roman"/>
          <w:b w:val="0"/>
          <w:i/>
          <w:u w:val="none"/>
        </w:rPr>
        <w:t xml:space="preserve">Nota: il valore totale di questo ordine è di 8,550.00 dollari. In caso di personalizzazione con stampa del logo del marchio o aggiunta di etichette specifiche per la vendita al dettaglio, verrà applicato un piccolo supplemento.</w:t>
      </w:r>
    </w:p>
    <w:p>
      <w:pPr>
        <w:pStyle w:val="Heading1"/>
      </w:pPr>
      <w:r>
        <w:rPr>
          <w:rFonts w:ascii="Times New Roman" w:hAnsi="Times New Roman" w:eastAsia="Times New Roman"/>
          <w:b w:val="0"/>
          <w:i w:val="0"/>
          <w:u w:val="none"/>
        </w:rPr>
        <w:t xml:space="preserve">II. Standard di imballaggio e tempi di consegna</w:t>
      </w:r>
    </w:p>
    <w:p>
      <w:r>
        <w:rPr>
          <w:rFonts w:ascii="Times New Roman" w:hAnsi="Times New Roman" w:eastAsia="Times New Roman"/>
          <w:b w:val="0"/>
          <w:i w:val="0"/>
          <w:u w:val="none"/>
        </w:rPr>
        <w:t xml:space="preserve">Per garantire che la merce fragile arrivi a destinazione in sicurezza, abbiamo predisposto i seguenti standard logistici e di imballaggio:</w:t>
      </w:r>
    </w:p>
    <w:p>
      <w:pPr>
        <w:pStyle w:val="ListBullet"/>
      </w:pPr>
      <w:r>
        <w:rPr>
          <w:rFonts w:ascii="Times New Roman" w:hAnsi="Times New Roman" w:eastAsia="Times New Roman"/>
          <w:b/>
          <w:i w:val="0"/>
          <w:u w:val="none"/>
        </w:rPr>
        <w:t xml:space="preserve">Imballaggio antiurto</w:t>
      </w:r>
      <w:r>
        <w:rPr>
          <w:rFonts w:ascii="Times New Roman" w:hAnsi="Times New Roman" w:eastAsia="Times New Roman"/>
          <w:b w:val="0"/>
          <w:i w:val="0"/>
          <w:u w:val="none"/>
        </w:rPr>
        <w:t xml:space="preserve">：Ogni prodotto sarà imballato singolarmente in una </w:t>
      </w:r>
      <w:r>
        <w:rPr>
          <w:rFonts w:ascii="Times New Roman" w:hAnsi="Times New Roman" w:eastAsia="Times New Roman"/>
          <w:b w:val="0"/>
          <w:i w:val="0"/>
          <w:color w:val="005C4D"/>
          <w:u w:val="single"/>
        </w:rPr>
        <w:t xml:space="preserve">scatola di cartone ondulato rinforzata a cinque strati</w:t>
      </w:r>
      <w:r>
        <w:rPr>
          <w:rFonts w:ascii="Times New Roman" w:hAnsi="Times New Roman" w:eastAsia="Times New Roman"/>
          <w:b w:val="0"/>
          <w:i w:val="0"/>
          <w:u w:val="none"/>
        </w:rPr>
        <w:t xml:space="preserve"> e dotata di schiuma ammortizzante su misura.</w:t>
      </w:r>
    </w:p>
    <w:p>
      <w:pPr>
        <w:pStyle w:val="ListBullet"/>
      </w:pPr>
      <w:r>
        <w:rPr>
          <w:rFonts w:ascii="Times New Roman" w:hAnsi="Times New Roman" w:eastAsia="Times New Roman"/>
          <w:b/>
          <w:i w:val="0"/>
          <w:u w:val="none"/>
        </w:rPr>
        <w:t xml:space="preserve">Condizioni di trasporto marittimo</w:t>
      </w:r>
      <w:r>
        <w:rPr>
          <w:rFonts w:ascii="Times New Roman" w:hAnsi="Times New Roman" w:eastAsia="Times New Roman"/>
          <w:b w:val="0"/>
          <w:i w:val="0"/>
          <w:u w:val="none"/>
        </w:rPr>
        <w:t xml:space="preserve">：La presente transazione è regolata dai termini standard FOB Porto di Shenzhen (FOB Shenzhen Port).</w:t>
      </w:r>
    </w:p>
    <w:p>
      <w:pPr>
        <w:pStyle w:val="ListBullet"/>
      </w:pPr>
      <w:r>
        <w:rPr>
          <w:rFonts w:ascii="Times New Roman" w:hAnsi="Times New Roman" w:eastAsia="Times New Roman"/>
          <w:b/>
          <w:i w:val="0"/>
          <w:u w:val="none"/>
        </w:rPr>
        <w:t xml:space="preserve">Tempi di preparazione della merce</w:t>
      </w:r>
      <w:r>
        <w:rPr>
          <w:rFonts w:ascii="Times New Roman" w:hAnsi="Times New Roman" w:eastAsia="Times New Roman"/>
          <w:b w:val="0"/>
          <w:i w:val="0"/>
          <w:u w:val="none"/>
        </w:rPr>
        <w:t xml:space="preserve">：Dopo aver ricevuto la vostra conferma, la merce sarà consegnata al terminal di esportazione designato entro </w:t>
      </w:r>
      <w:r>
        <w:rPr>
          <w:rFonts w:ascii="Times New Roman" w:hAnsi="Times New Roman" w:eastAsia="Times New Roman"/>
          <w:b/>
          <w:i w:val="0"/>
          <w:u w:val="none"/>
        </w:rPr>
        <w:t xml:space="preserve">10 giorni lavorativi</w:t>
      </w:r>
      <w:r>
        <w:rPr>
          <w:rFonts w:ascii="Times New Roman" w:hAnsi="Times New Roman" w:eastAsia="Times New Roman"/>
          <w:b w:val="0"/>
          <w:i w:val="0"/>
          <w:u w:val="none"/>
        </w:rPr>
        <w:t xml:space="preserve">。</w:t>
      </w:r>
    </w:p>
    <w:p>
      <w:pPr>
        <w:pStyle w:val="ListBullet"/>
      </w:pPr>
      <w:r>
        <w:rPr>
          <w:rFonts w:ascii="Times New Roman" w:hAnsi="Times New Roman" w:eastAsia="Times New Roman"/>
          <w:b/>
          <w:i w:val="0"/>
          <w:u w:val="none"/>
        </w:rPr>
        <w:t xml:space="preserve">Ispezione in fabbrica</w:t>
      </w:r>
      <w:r>
        <w:rPr>
          <w:rFonts w:ascii="Times New Roman" w:hAnsi="Times New Roman" w:eastAsia="Times New Roman"/>
          <w:b w:val="0"/>
          <w:i w:val="0"/>
          <w:u w:val="none"/>
        </w:rPr>
        <w:t xml:space="preserve">：Prima dell’imballaggio, vi forniremo un rapporto di ispezione pre-spedizione corredato di fotografie reali.</w:t>
      </w:r>
    </w:p>
    <w:p>
      <w:pPr>
        <w:pStyle w:val="Heading1"/>
      </w:pPr>
      <w:r>
        <w:rPr>
          <w:rFonts w:ascii="Times New Roman" w:hAnsi="Times New Roman" w:eastAsia="Times New Roman"/>
          <w:b w:val="0"/>
          <w:i w:val="0"/>
          <w:u w:val="none"/>
        </w:rPr>
        <w:t xml:space="preserve">III. Scadenze di pagamento e passaggi successivi</w:t>
      </w:r>
    </w:p>
    <w:p>
      <w:r>
        <w:rPr>
          <w:rFonts w:ascii="Times New Roman" w:hAnsi="Times New Roman" w:eastAsia="Times New Roman"/>
          <w:b w:val="0"/>
          <w:i w:val="0"/>
          <w:u w:val="none"/>
        </w:rPr>
        <w:t xml:space="preserve">Per confermare l’ordine e riservare il programma di produzione, vi preghiamo di effettuare i pagamenti secondo le seguenti scadenze:</w:t>
      </w:r>
    </w:p>
    <w:p>
      <w:pPr>
        <w:pStyle w:val="ListNumber"/>
      </w:pPr>
      <w:r>
        <w:rPr>
          <w:rFonts w:ascii="Times New Roman" w:hAnsi="Times New Roman" w:eastAsia="Times New Roman"/>
          <w:b w:val="0"/>
          <w:i w:val="0"/>
          <w:u w:val="none"/>
        </w:rPr>
        <w:t xml:space="preserve">Prima di avviare la produzione e la preparazione della merce, versate un acconto pari al 30% dell’importo totale dell’ordine (ossia 2,565.00 dollari).</w:t>
      </w:r>
    </w:p>
    <w:p>
      <w:pPr>
        <w:pStyle w:val="ListNumber"/>
      </w:pPr>
      <w:r>
        <w:rPr>
          <w:rFonts w:ascii="Times New Roman" w:hAnsi="Times New Roman" w:eastAsia="Times New Roman"/>
          <w:b w:val="0"/>
          <w:i w:val="0"/>
          <w:u w:val="none"/>
        </w:rPr>
        <w:t xml:space="preserve">Il saldo restante del 70% (ossia 5,985.00 dollari) dovrà essere versato entro </w:t>
      </w:r>
      <w:r>
        <w:rPr>
          <w:rFonts w:ascii="Times New Roman" w:hAnsi="Times New Roman" w:eastAsia="Times New Roman"/>
          <w:b/>
          <w:i w:val="0"/>
          <w:u w:val="none"/>
        </w:rPr>
        <w:t xml:space="preserve">5 giorni dalla ricezione della copia della polizza di carico (B/L)</w:t>
      </w:r>
      <w:r>
        <w:rPr>
          <w:rFonts w:ascii="Times New Roman" w:hAnsi="Times New Roman" w:eastAsia="Times New Roman"/>
          <w:b w:val="0"/>
          <w:i w:val="0"/>
          <w:u w:val="none"/>
        </w:rPr>
        <w:t xml:space="preserve">.</w:t>
      </w:r>
    </w:p>
    <w:p>
      <w:r>
        <w:rPr>
          <w:rFonts w:ascii="Times New Roman" w:hAnsi="Times New Roman" w:eastAsia="Times New Roman"/>
          <w:b w:val="0"/>
          <w:i w:val="0"/>
          <w:u w:val="none"/>
        </w:rPr>
        <w:t xml:space="preserve">Se tutte le condizioni sopra indicate sono corrette, vi preghiamo di rispondere «Confermo e accetto» entro le </w:t>
      </w:r>
      <w:r>
        <w:rPr>
          <w:rFonts w:ascii="Times New Roman" w:hAnsi="Times New Roman" w:eastAsia="Times New Roman"/>
          <w:b/>
          <w:i w:val="0"/>
          <w:u w:val="none"/>
        </w:rPr>
        <w:t xml:space="preserve">17:00 di venerdì</w:t>
      </w:r>
      <w:r>
        <w:rPr>
          <w:rFonts w:ascii="Times New Roman" w:hAnsi="Times New Roman" w:eastAsia="Times New Roman"/>
          <w:b w:val="0"/>
          <w:i w:val="0"/>
          <w:u w:val="none"/>
        </w:rPr>
        <w:t xml:space="preserve">. Una volta ricevuta la vostra conferma, il nostro team riserverà immediatamente la merce e avvierà le procedure di imballaggio e spedizione.</w:t>
      </w:r>
    </w:p>
    <w:p>
      <w:r>
        <w:rPr>
          <w:rFonts w:ascii="Times New Roman" w:hAnsi="Times New Roman" w:eastAsia="Times New Roman"/>
          <w:b w:val="0"/>
          <w:i w:val="0"/>
          <w:u w:val="none"/>
        </w:rPr>
        <w:t xml:space="preserve">Cordiali saluti,</w:t>
      </w:r>
    </w:p>
    <w:p>
      <w:r>
        <w:rPr>
          <w:rFonts w:ascii="Times New Roman" w:hAnsi="Times New Roman" w:eastAsia="Times New Roman"/>
          <w:b w:val="0"/>
          <w:i w:val="0"/>
          <w:u w:val="none"/>
        </w:rPr>
        <w:t xml:space="preserve">Il team Equalang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893" w:right="1037" w:bottom="893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Times New Roman" w:hAnsi="Times New Roman" w:eastAsia="Times New Roman"/>
        <w:sz w:val="16"/>
      </w:rPr>
      <w:t xml:space="preserve">Materiale dimostrativo fittizio - non è un documento attestante una transazione reale</w:t>
    </w:r>
    <w:r>
      <w:rPr>
        <w:rFonts w:ascii="Times New Roman" w:hAnsi="Times New Roman" w:eastAsia="Times New Roman"/>
      </w:rP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Times New Roman" w:hAnsi="Times New Roman" w:eastAsia="Times New Roman"/>
        <w:sz w:val="16"/>
      </w:rPr>
      <w:t xml:space="preserve">Team Equalang - Conferma di fornitura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 w:after="80"/>
    </w:pPr>
    <w:rPr>
      <w:rFonts w:ascii="Arial Unicode MS" w:hAnsi="Arial Unicode MS" w:eastAsia="Arial Unicode M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80" w:line="240" w:lineRule="auto"/>
      <w:outlineLvl w:val="0"/>
    </w:pPr>
    <w:rPr>
      <w:rFonts w:asciiTheme="majorHAnsi" w:eastAsiaTheme="majorEastAsia" w:hAnsiTheme="majorHAnsi" w:cstheme="majorBidi" w:ascii="Arial Unicode MS" w:hAnsi="Arial Unicode MS" w:eastAsia="Arial Unicode MS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/>
      <w:contextualSpacing/>
    </w:pPr>
    <w:rPr>
      <w:rFonts w:asciiTheme="majorHAnsi" w:eastAsiaTheme="majorEastAsia" w:hAnsiTheme="majorHAnsi" w:cstheme="majorBidi" w:ascii="Arial Unicode MS" w:hAnsi="Arial Unicode MS" w:eastAsia="Arial Unicode MS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0" w:lineRule="auto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0" w:lineRule="auto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陶瓷产品供货与发货确认单</dc:title>
  <dc:subject/>
  <dc:creator>Equalang</dc:creator>
  <cp:keywords/>
  <dc:description>本文档由 Equalang AI 翻译（equalang.com）生成，内容仅供参考。
This document was translated by Equalang AI (equalang.com) and is for informational purposes only.</dc:description>
  <cp:lastModifiedBy>Equalang</cp:lastModifiedBy>
  <cp:revision>1</cp:revision>
  <dcterms:created xsi:type="dcterms:W3CDTF">2013-12-23T23:15:00Z</dcterms:created>
  <dcterms:modified xsi:type="dcterms:W3CDTF">2013-12-23T23:15:00Z</dcterms:modified>
  <cp:category/>
</cp:coreProperties>
</file>