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Serif" w:hAnsi="NotoSerif" w:eastAsia="NotoSerif"/>
          <w:b w:val="0"/>
          <w:i w:val="0"/>
          <w:u w:val="none"/>
        </w:rPr>
        <w:t xml:space="preserve">Formulir Konfirmasi Pasokan dan Pengiriman Produk Keramik</w:t>
      </w:r>
    </w:p>
    <w:p>
      <w:r>
        <w:rPr>
          <w:rFonts w:ascii="NotoSerif" w:hAnsi="NotoSerif" w:eastAsia="NotoSerif"/>
          <w:b w:val="0"/>
          <w:i w:val="0"/>
          <w:u w:val="none"/>
        </w:rPr>
        <w:t xml:space="preserve">Terima kasih atas pertanyaan harga Anda baru-baru ini. Dokumen ini bertujuan untuk mengonfirmasi detail pasokan, jadwal pengiriman, dan ketentuan pembayaran untuk pesanan produk keramik yang akan Anda beli. Sebelum melanjutkan ke pemrosesan pesanan akhir, harap periksa apakah barang, jumlah, dan penawaran harga dalam tabel di bawah sudah akurat.</w:t>
      </w:r>
    </w:p>
    <w:p>
      <w:pPr>
        <w:pStyle w:val="Heading1"/>
      </w:pPr>
      <w:r>
        <w:rPr>
          <w:rFonts w:ascii="NotoSerif" w:hAnsi="NotoSerif" w:eastAsia="NotoSerif"/>
          <w:b w:val="0"/>
          <w:i w:val="0"/>
          <w:u w:val="none"/>
        </w:rPr>
        <w:t xml:space="preserve">I. Rincian Spesifikasi dan Penawaran Harga Produk</w:t>
      </w:r>
    </w:p>
    <w:p>
      <w:r>
        <w:rPr>
          <w:rFonts w:ascii="NotoSerif" w:hAnsi="NotoSerif" w:eastAsia="NotoSerif"/>
          <w:b w:val="0"/>
          <w:i w:val="0"/>
          <w:u w:val="none"/>
        </w:rPr>
        <w:t xml:space="preserve">Tabel di bawah mencantumkan rincian barang keramik yang kami sisihkan untuk Anda dalam pengiriman ini. Semua harga satuan dinyatakan dalam dolar AS (USD) dan sudah termasuk biaya kemasan pelindung standar tingkat ekspor untuk mencegah kerusakan barang pecah belah selama pengiriman.</w:t>
      </w:r>
    </w:p>
    <w:tbl>
      <w:tblPr>
        <w:tblStyle w:val="TableGrid"/>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37"/>
        <w:gridCol w:w="3528"/>
        <w:gridCol w:w="1267"/>
        <w:gridCol w:w="1512"/>
        <w:gridCol w:w="1584"/>
      </w:tblGrid>
      <w:tr>
        <w:tc>
          <w:tcPr>
            <w:tcW w:type="dxa" w:w="1037"/>
            <w:shd w:fill="DDEBF7"/>
          </w:tcPr>
          <w:p>
            <w:pPr>
              <w:spacing w:after="80" w:before="80"/>
            </w:pPr>
            <w:r>
              <w:rPr>
                <w:rFonts w:ascii="NotoSerif" w:hAnsi="NotoSerif" w:eastAsia="NotoSerif"/>
                <w:b/>
                <w:i w:val="0"/>
                <w:u w:val="none"/>
              </w:rPr>
              <w:t xml:space="preserve">Kode barang</w:t>
            </w:r>
          </w:p>
        </w:tc>
        <w:tc>
          <w:tcPr>
            <w:tcW w:type="dxa" w:w="3528"/>
            <w:shd w:fill="DDEBF7"/>
          </w:tcPr>
          <w:p>
            <w:pPr>
              <w:spacing w:after="80" w:before="80"/>
            </w:pPr>
            <w:r>
              <w:rPr>
                <w:rFonts w:ascii="NotoSerif" w:hAnsi="NotoSerif" w:eastAsia="NotoSerif"/>
                <w:b/>
                <w:i w:val="0"/>
                <w:u w:val="none"/>
              </w:rPr>
              <w:t xml:space="preserve">Nama produk</w:t>
            </w:r>
          </w:p>
        </w:tc>
        <w:tc>
          <w:tcPr>
            <w:tcW w:type="dxa" w:w="1267"/>
            <w:shd w:fill="DDEBF7"/>
          </w:tcPr>
          <w:p>
            <w:pPr>
              <w:spacing w:after="80" w:before="80"/>
            </w:pPr>
            <w:r>
              <w:rPr>
                <w:rFonts w:ascii="NotoSerif" w:hAnsi="NotoSerif" w:eastAsia="NotoSerif"/>
                <w:b/>
                <w:i w:val="0"/>
                <w:u w:val="none"/>
              </w:rPr>
              <w:t xml:space="preserve">Jumlah</w:t>
            </w:r>
          </w:p>
        </w:tc>
        <w:tc>
          <w:tcPr>
            <w:tcW w:type="dxa" w:w="1512"/>
            <w:shd w:fill="DDEBF7"/>
          </w:tcPr>
          <w:p>
            <w:pPr>
              <w:spacing w:after="80" w:before="80"/>
            </w:pPr>
            <w:r>
              <w:rPr>
                <w:rFonts w:ascii="NotoSerif" w:hAnsi="NotoSerif" w:eastAsia="NotoSerif"/>
                <w:b/>
                <w:i w:val="0"/>
                <w:u w:val="none"/>
              </w:rPr>
              <w:t xml:space="preserve">Harga satuan (dolar AS)</w:t>
            </w:r>
          </w:p>
        </w:tc>
        <w:tc>
          <w:tcPr>
            <w:tcW w:type="dxa" w:w="1584"/>
            <w:shd w:fill="DDEBF7"/>
          </w:tcPr>
          <w:p>
            <w:pPr>
              <w:spacing w:after="80" w:before="80"/>
            </w:pPr>
            <w:r>
              <w:rPr>
                <w:rFonts w:ascii="NotoSerif" w:hAnsi="NotoSerif" w:eastAsia="NotoSerif"/>
                <w:b/>
                <w:i w:val="0"/>
                <w:u w:val="none"/>
              </w:rPr>
              <w:t xml:space="preserve">Total harga (dolar AS)</w:t>
            </w:r>
          </w:p>
        </w:tc>
      </w:tr>
      <w:tr>
        <w:tc>
          <w:tcPr>
            <w:tcW w:type="dxa" w:w="1037"/>
          </w:tcPr>
          <w:p>
            <w:pPr>
              <w:spacing w:after="80" w:before="80"/>
            </w:pPr>
            <w:r>
              <w:rPr>
                <w:rFonts w:ascii="NotoSerif" w:hAnsi="NotoSerif" w:eastAsia="NotoSerif"/>
                <w:b w:val="0"/>
                <w:i w:val="0"/>
                <w:u w:val="none"/>
              </w:rPr>
              <w:t xml:space="preserve">TC-101</w:t>
            </w:r>
          </w:p>
        </w:tc>
        <w:tc>
          <w:tcPr>
            <w:tcW w:type="dxa" w:w="3528"/>
          </w:tcPr>
          <w:p>
            <w:pPr>
              <w:spacing w:after="80" w:before="80"/>
            </w:pPr>
            <w:r>
              <w:rPr>
                <w:rFonts w:ascii="NotoSerif" w:hAnsi="NotoSerif" w:eastAsia="NotoSerif"/>
                <w:b w:val="0"/>
                <w:i w:val="0"/>
                <w:u w:val="none"/>
              </w:rPr>
              <w:t xml:space="preserve">Set piring makan berlapis glasir</w:t>
            </w:r>
          </w:p>
        </w:tc>
        <w:tc>
          <w:tcPr>
            <w:tcW w:type="dxa" w:w="1267"/>
          </w:tcPr>
          <w:p>
            <w:pPr>
              <w:spacing w:after="80" w:before="80"/>
            </w:pPr>
            <w:r>
              <w:rPr>
                <w:rFonts w:ascii="NotoSerif" w:hAnsi="NotoSerif" w:eastAsia="NotoSerif"/>
                <w:b w:val="0"/>
                <w:i w:val="0"/>
                <w:u w:val="none"/>
              </w:rPr>
              <w:t xml:space="preserve">500</w:t>
            </w:r>
          </w:p>
        </w:tc>
        <w:tc>
          <w:tcPr>
            <w:tcW w:type="dxa" w:w="1512"/>
          </w:tcPr>
          <w:p>
            <w:pPr>
              <w:spacing w:after="80" w:before="80"/>
            </w:pPr>
            <w:r>
              <w:rPr>
                <w:rFonts w:ascii="NotoSerif" w:hAnsi="NotoSerif" w:eastAsia="NotoSerif"/>
                <w:b w:val="0"/>
                <w:i w:val="0"/>
                <w:u w:val="none"/>
              </w:rPr>
              <w:t xml:space="preserve">6.50</w:t>
            </w:r>
          </w:p>
        </w:tc>
        <w:tc>
          <w:tcPr>
            <w:tcW w:type="dxa" w:w="1584"/>
          </w:tcPr>
          <w:p>
            <w:pPr>
              <w:spacing w:after="80" w:before="80"/>
            </w:pPr>
            <w:r>
              <w:rPr>
                <w:rFonts w:ascii="NotoSerif" w:hAnsi="NotoSerif" w:eastAsia="NotoSerif"/>
                <w:b w:val="0"/>
                <w:i w:val="0"/>
                <w:u w:val="none"/>
              </w:rPr>
              <w:t xml:space="preserve">3,250.00</w:t>
            </w:r>
          </w:p>
        </w:tc>
      </w:tr>
      <w:tr>
        <w:tc>
          <w:tcPr>
            <w:tcW w:type="dxa" w:w="1037"/>
          </w:tcPr>
          <w:p>
            <w:pPr>
              <w:spacing w:after="80" w:before="80"/>
            </w:pPr>
            <w:r>
              <w:rPr>
                <w:rFonts w:ascii="NotoSerif" w:hAnsi="NotoSerif" w:eastAsia="NotoSerif"/>
                <w:b w:val="0"/>
                <w:i w:val="0"/>
                <w:u w:val="none"/>
              </w:rPr>
              <w:t xml:space="preserve">TC-102</w:t>
            </w:r>
          </w:p>
        </w:tc>
        <w:tc>
          <w:tcPr>
            <w:tcW w:type="dxa" w:w="3528"/>
          </w:tcPr>
          <w:p>
            <w:pPr>
              <w:spacing w:after="80" w:before="80"/>
            </w:pPr>
            <w:r>
              <w:rPr>
                <w:rFonts w:ascii="NotoSerif" w:hAnsi="NotoSerif" w:eastAsia="NotoSerif"/>
                <w:b w:val="0"/>
                <w:i w:val="0"/>
                <w:u w:val="none"/>
              </w:rPr>
              <w:t xml:space="preserve">Set teh porselen putih buatan tangan</w:t>
            </w:r>
          </w:p>
        </w:tc>
        <w:tc>
          <w:tcPr>
            <w:tcW w:type="dxa" w:w="1267"/>
          </w:tcPr>
          <w:p>
            <w:pPr>
              <w:spacing w:after="80" w:before="80"/>
            </w:pPr>
            <w:r>
              <w:rPr>
                <w:rFonts w:ascii="NotoSerif" w:hAnsi="NotoSerif" w:eastAsia="NotoSerif"/>
                <w:b w:val="0"/>
                <w:i w:val="0"/>
                <w:u w:val="none"/>
              </w:rPr>
              <w:t xml:space="preserve">200</w:t>
            </w:r>
          </w:p>
        </w:tc>
        <w:tc>
          <w:tcPr>
            <w:tcW w:type="dxa" w:w="1512"/>
          </w:tcPr>
          <w:p>
            <w:pPr>
              <w:spacing w:after="80" w:before="80"/>
            </w:pPr>
            <w:r>
              <w:rPr>
                <w:rFonts w:ascii="NotoSerif" w:hAnsi="NotoSerif" w:eastAsia="NotoSerif"/>
                <w:b w:val="0"/>
                <w:i w:val="0"/>
                <w:u w:val="none"/>
              </w:rPr>
              <w:t xml:space="preserve">17.50</w:t>
            </w:r>
          </w:p>
        </w:tc>
        <w:tc>
          <w:tcPr>
            <w:tcW w:type="dxa" w:w="1584"/>
          </w:tcPr>
          <w:p>
            <w:pPr>
              <w:spacing w:after="80" w:before="80"/>
            </w:pPr>
            <w:r>
              <w:rPr>
                <w:rFonts w:ascii="NotoSerif" w:hAnsi="NotoSerif" w:eastAsia="NotoSerif"/>
                <w:b w:val="0"/>
                <w:i w:val="0"/>
                <w:u w:val="none"/>
              </w:rPr>
              <w:t xml:space="preserve">3,500.00</w:t>
            </w:r>
          </w:p>
        </w:tc>
      </w:tr>
      <w:tr>
        <w:tc>
          <w:tcPr>
            <w:tcW w:type="dxa" w:w="1037"/>
          </w:tcPr>
          <w:p>
            <w:pPr>
              <w:spacing w:after="80" w:before="80"/>
            </w:pPr>
            <w:r>
              <w:rPr>
                <w:rFonts w:ascii="NotoSerif" w:hAnsi="NotoSerif" w:eastAsia="NotoSerif"/>
                <w:b w:val="0"/>
                <w:i w:val="0"/>
                <w:u w:val="none"/>
              </w:rPr>
              <w:t xml:space="preserve">TC-103</w:t>
            </w:r>
          </w:p>
        </w:tc>
        <w:tc>
          <w:tcPr>
            <w:tcW w:type="dxa" w:w="3528"/>
          </w:tcPr>
          <w:p>
            <w:pPr>
              <w:spacing w:after="80" w:before="80"/>
            </w:pPr>
            <w:r>
              <w:rPr>
                <w:rFonts w:ascii="NotoSerif" w:hAnsi="NotoSerif" w:eastAsia="NotoSerif"/>
                <w:b w:val="0"/>
                <w:i w:val="0"/>
                <w:u w:val="none"/>
              </w:rPr>
              <w:t xml:space="preserve">Vas bergaya minimalis</w:t>
            </w:r>
          </w:p>
        </w:tc>
        <w:tc>
          <w:tcPr>
            <w:tcW w:type="dxa" w:w="1267"/>
          </w:tcPr>
          <w:p>
            <w:pPr>
              <w:spacing w:after="80" w:before="80"/>
            </w:pPr>
            <w:r>
              <w:rPr>
                <w:rFonts w:ascii="NotoSerif" w:hAnsi="NotoSerif" w:eastAsia="NotoSerif"/>
                <w:b w:val="0"/>
                <w:i w:val="0"/>
                <w:u w:val="none"/>
              </w:rPr>
              <w:t xml:space="preserve">150</w:t>
            </w:r>
          </w:p>
        </w:tc>
        <w:tc>
          <w:tcPr>
            <w:tcW w:type="dxa" w:w="1512"/>
          </w:tcPr>
          <w:p>
            <w:pPr>
              <w:spacing w:after="80" w:before="80"/>
            </w:pPr>
            <w:r>
              <w:rPr>
                <w:rFonts w:ascii="NotoSerif" w:hAnsi="NotoSerif" w:eastAsia="NotoSerif"/>
                <w:b w:val="0"/>
                <w:i w:val="0"/>
                <w:u w:val="none"/>
              </w:rPr>
              <w:t xml:space="preserve">12.00</w:t>
            </w:r>
          </w:p>
        </w:tc>
        <w:tc>
          <w:tcPr>
            <w:tcW w:type="dxa" w:w="1584"/>
          </w:tcPr>
          <w:p>
            <w:pPr>
              <w:spacing w:after="80" w:before="80"/>
            </w:pPr>
            <w:r>
              <w:rPr>
                <w:rFonts w:ascii="NotoSerif" w:hAnsi="NotoSerif" w:eastAsia="NotoSerif"/>
                <w:b w:val="0"/>
                <w:i w:val="0"/>
                <w:u w:val="none"/>
              </w:rPr>
              <w:t xml:space="preserve">1,800.00</w:t>
            </w:r>
          </w:p>
        </w:tc>
      </w:tr>
    </w:tbl>
    <w:p>
      <w:r>
        <w:rPr>
          <w:rFonts w:ascii="NotoSerif" w:hAnsi="NotoSerif" w:eastAsia="NotoSerif"/>
          <w:b w:val="0"/>
          <w:i/>
          <w:u w:val="none"/>
        </w:rPr>
        <w:t xml:space="preserve">Catatan: Nilai total pesanan ini adalah 8,550.00 dolar AS. Jika Anda ingin mencetak logo merek khusus atau menambahkan label ritel khusus, kami akan mengenakan sedikit biaya tambahan sesuai kebutuhan.</w:t>
      </w:r>
    </w:p>
    <w:p>
      <w:pPr>
        <w:pStyle w:val="Heading1"/>
      </w:pPr>
      <w:r>
        <w:rPr>
          <w:rFonts w:ascii="NotoSerif" w:hAnsi="NotoSerif" w:eastAsia="NotoSerif"/>
          <w:b w:val="0"/>
          <w:i w:val="0"/>
          <w:u w:val="none"/>
        </w:rPr>
        <w:t xml:space="preserve">II. Standar Pengemasan dan Jadwal Pengiriman</w:t>
      </w:r>
    </w:p>
    <w:p>
      <w:r>
        <w:rPr>
          <w:rFonts w:ascii="NotoSerif" w:hAnsi="NotoSerif" w:eastAsia="NotoSerif"/>
          <w:b w:val="0"/>
          <w:i w:val="0"/>
          <w:u w:val="none"/>
        </w:rPr>
        <w:t xml:space="preserve">Untuk memastikan barang pecah belah tiba dengan aman, kami telah menetapkan standar logistik dan pengemasan berikut:</w:t>
      </w:r>
    </w:p>
    <w:p>
      <w:pPr>
        <w:pStyle w:val="ListBullet"/>
      </w:pPr>
      <w:r>
        <w:rPr>
          <w:rFonts w:ascii="NotoSerif" w:hAnsi="NotoSerif" w:eastAsia="NotoSerif"/>
          <w:b/>
          <w:i w:val="0"/>
          <w:u w:val="none"/>
        </w:rPr>
        <w:t xml:space="preserve">Kemasan pelindung dari kerusakan</w:t>
      </w:r>
      <w:r>
        <w:rPr>
          <w:rFonts w:ascii="NotoSerif" w:hAnsi="NotoSerif" w:eastAsia="NotoSerif"/>
          <w:b w:val="0"/>
          <w:i w:val="0"/>
          <w:u w:val="none"/>
        </w:rPr>
        <w:t xml:space="preserve">: Setiap produk akan dikemas secara terpisah di dalam </w:t>
      </w:r>
      <w:r>
        <w:rPr>
          <w:rFonts w:ascii="NotoSerif" w:hAnsi="NotoSerif" w:eastAsia="NotoSerif"/>
          <w:b w:val="0"/>
          <w:i w:val="0"/>
          <w:color w:val="005C4D"/>
          <w:u w:val="single"/>
        </w:rPr>
        <w:t xml:space="preserve">karton bergelombang lima lapis yang diperkuat</w:t>
      </w:r>
      <w:r>
        <w:rPr>
          <w:rFonts w:ascii="NotoSerif" w:hAnsi="NotoSerif" w:eastAsia="NotoSerif"/>
          <w:b w:val="0"/>
          <w:i w:val="0"/>
          <w:u w:val="none"/>
        </w:rPr>
        <w:t xml:space="preserve"> dan dilengkapi busa peredam benturan khusus.</w:t>
      </w:r>
    </w:p>
    <w:p>
      <w:pPr>
        <w:pStyle w:val="ListBullet"/>
      </w:pPr>
      <w:r>
        <w:rPr>
          <w:rFonts w:ascii="NotoSerif" w:hAnsi="NotoSerif" w:eastAsia="NotoSerif"/>
          <w:b/>
          <w:i w:val="0"/>
          <w:u w:val="none"/>
        </w:rPr>
        <w:t xml:space="preserve">Ketentuan pengiriman laut</w:t>
      </w:r>
      <w:r>
        <w:rPr>
          <w:rFonts w:ascii="NotoSerif" w:hAnsi="NotoSerif" w:eastAsia="NotoSerif"/>
          <w:b w:val="0"/>
          <w:i w:val="0"/>
          <w:u w:val="none"/>
        </w:rPr>
        <w:t xml:space="preserve">：Transaksi ini dilaksanakan berdasarkan ketentuan standar FOB Pelabuhan Shenzhen (FOB Shenzhen Port).</w:t>
      </w:r>
    </w:p>
    <w:p>
      <w:pPr>
        <w:pStyle w:val="ListBullet"/>
      </w:pPr>
      <w:r>
        <w:rPr>
          <w:rFonts w:ascii="NotoSerif" w:hAnsi="NotoSerif" w:eastAsia="NotoSerif"/>
          <w:b/>
          <w:i w:val="0"/>
          <w:u w:val="none"/>
        </w:rPr>
        <w:t xml:space="preserve">Waktu persiapan barang</w:t>
      </w:r>
      <w:r>
        <w:rPr>
          <w:rFonts w:ascii="NotoSerif" w:hAnsi="NotoSerif" w:eastAsia="NotoSerif"/>
          <w:b w:val="0"/>
          <w:i w:val="0"/>
          <w:u w:val="none"/>
        </w:rPr>
        <w:t xml:space="preserve">：Setelah menerima konfirmasi Anda, barang akan dikirim ke terminal ekspor yang ditentukan dalam waktu </w:t>
      </w:r>
      <w:r>
        <w:rPr>
          <w:rFonts w:ascii="NotoSerif" w:hAnsi="NotoSerif" w:eastAsia="NotoSerif"/>
          <w:b/>
          <w:i w:val="0"/>
          <w:u w:val="none"/>
        </w:rPr>
        <w:t xml:space="preserve">10 hari kerja</w:t>
      </w:r>
      <w:r>
        <w:rPr>
          <w:rFonts w:ascii="NotoSerif" w:hAnsi="NotoSerif" w:eastAsia="NotoSerif"/>
          <w:b w:val="0"/>
          <w:i w:val="0"/>
          <w:u w:val="none"/>
        </w:rPr>
        <w:t xml:space="preserve">.</w:t>
      </w:r>
    </w:p>
    <w:p>
      <w:pPr>
        <w:pStyle w:val="ListBullet"/>
      </w:pPr>
      <w:r>
        <w:rPr>
          <w:rFonts w:ascii="NotoSerif" w:hAnsi="NotoSerif" w:eastAsia="NotoSerif"/>
          <w:b/>
          <w:i w:val="0"/>
          <w:u w:val="none"/>
        </w:rPr>
        <w:t xml:space="preserve">Pemeriksaan pabrik</w:t>
      </w:r>
      <w:r>
        <w:rPr>
          <w:rFonts w:ascii="NotoSerif" w:hAnsi="NotoSerif" w:eastAsia="NotoSerif"/>
          <w:b w:val="0"/>
          <w:i w:val="0"/>
          <w:u w:val="none"/>
        </w:rPr>
        <w:t xml:space="preserve">：Sebelum pengemasan, kami akan memberikan laporan inspeksi pra-pengiriman yang dilengkapi foto aktual.</w:t>
      </w:r>
    </w:p>
    <w:p>
      <w:pPr>
        <w:pStyle w:val="Heading1"/>
      </w:pPr>
      <w:r>
        <w:rPr>
          <w:rFonts w:ascii="NotoSerif" w:hAnsi="NotoSerif" w:eastAsia="NotoSerif"/>
          <w:b w:val="0"/>
          <w:i w:val="0"/>
          <w:u w:val="none"/>
        </w:rPr>
        <w:t xml:space="preserve">III. Jadwal Pembayaran dan Langkah Selanjutnya</w:t>
      </w:r>
    </w:p>
    <w:p>
      <w:r>
        <w:rPr>
          <w:rFonts w:ascii="NotoSerif" w:hAnsi="NotoSerif" w:eastAsia="NotoSerif"/>
          <w:b w:val="0"/>
          <w:i w:val="0"/>
          <w:u w:val="none"/>
        </w:rPr>
        <w:t xml:space="preserve">Untuk mengonfirmasi pesanan dan mengamankan jadwal produksi, harap lakukan pembayaran sesuai jadwal berikut:</w:t>
      </w:r>
    </w:p>
    <w:p>
      <w:pPr>
        <w:pStyle w:val="ListNumber"/>
      </w:pPr>
      <w:r>
        <w:rPr>
          <w:rFonts w:ascii="NotoSerif" w:hAnsi="NotoSerif" w:eastAsia="NotoSerif"/>
          <w:b w:val="0"/>
          <w:i w:val="0"/>
          <w:u w:val="none"/>
        </w:rPr>
        <w:t xml:space="preserve">Sebelum produksi dan persiapan barang dimulai, harap bayar uang muka sebesar 30% dari total pesanan (yaitu 2,565.00 dolar AS).</w:t>
      </w:r>
    </w:p>
    <w:p>
      <w:pPr>
        <w:pStyle w:val="ListNumber"/>
      </w:pPr>
      <w:r>
        <w:rPr>
          <w:rFonts w:ascii="NotoSerif" w:hAnsi="NotoSerif" w:eastAsia="NotoSerif"/>
          <w:b w:val="0"/>
          <w:i w:val="0"/>
          <w:u w:val="none"/>
        </w:rPr>
        <w:t xml:space="preserve">Sisa pembayaran sebesar 70% (yaitu 5,985.00 dolar AS) harus dilunasi dalam waktu </w:t>
      </w:r>
      <w:r>
        <w:rPr>
          <w:rFonts w:ascii="NotoSerif" w:hAnsi="NotoSerif" w:eastAsia="NotoSerif"/>
          <w:b/>
          <w:i w:val="0"/>
          <w:u w:val="none"/>
        </w:rPr>
        <w:t xml:space="preserve">5 hari setelah menerima salinan bill of lading (B/L)</w:t>
      </w:r>
      <w:r>
        <w:rPr>
          <w:rFonts w:ascii="NotoSerif" w:hAnsi="NotoSerif" w:eastAsia="NotoSerif"/>
          <w:b w:val="0"/>
          <w:i w:val="0"/>
          <w:u w:val="none"/>
        </w:rPr>
        <w:t xml:space="preserve">.</w:t>
      </w:r>
    </w:p>
    <w:p>
      <w:r>
        <w:rPr>
          <w:rFonts w:ascii="NotoSerif" w:hAnsi="NotoSerif" w:eastAsia="NotoSerif"/>
          <w:b w:val="0"/>
          <w:i w:val="0"/>
          <w:u w:val="none"/>
        </w:rPr>
        <w:t xml:space="preserve">Jika semua ketentuan di atas sudah benar, harap balas “Konfirmasi penerimaan” sebelum </w:t>
      </w:r>
      <w:r>
        <w:rPr>
          <w:rFonts w:ascii="NotoSerif" w:hAnsi="NotoSerif" w:eastAsia="NotoSerif"/>
          <w:b/>
          <w:i w:val="0"/>
          <w:u w:val="none"/>
        </w:rPr>
        <w:t xml:space="preserve">pukul 17.00 hari Jumat ini</w:t>
      </w:r>
      <w:r>
        <w:rPr>
          <w:rFonts w:ascii="NotoSerif" w:hAnsi="NotoSerif" w:eastAsia="NotoSerif"/>
          <w:b w:val="0"/>
          <w:i w:val="0"/>
          <w:u w:val="none"/>
        </w:rPr>
        <w:t xml:space="preserve">. Setelah menerima konfirmasi, tim kami akan segera mengamankan stok dan memulai proses pengemasan serta pengiriman.</w:t>
      </w:r>
    </w:p>
    <w:p>
      <w:r>
        <w:rPr>
          <w:rFonts w:ascii="NotoSerif" w:hAnsi="NotoSerif" w:eastAsia="NotoSerif"/>
          <w:b w:val="0"/>
          <w:i w:val="0"/>
          <w:u w:val="none"/>
        </w:rPr>
        <w:t xml:space="preserve">Salam hormat,</w:t>
      </w:r>
    </w:p>
    <w:p>
      <w:r>
        <w:rPr>
          <w:rFonts w:ascii="NotoSerif" w:hAnsi="NotoSerif" w:eastAsia="NotoSerif"/>
          <w:b w:val="0"/>
          <w:i w:val="0"/>
          <w:u w:val="none"/>
        </w:rPr>
        <w:t xml:space="preserve">Tim Equalang</w:t>
      </w:r>
    </w:p>
    <w:sectPr w:rsidR="00FC693F" w:rsidRPr="0006063C" w:rsidSect="00034616">
      <w:headerReference w:type="default" r:id="rId9"/>
      <w:footerReference w:type="default" r:id="rId10"/>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NotoSerif" w:hAnsi="NotoSerif" w:eastAsia="NotoSerif"/>
        <w:sz w:val="16"/>
      </w:rPr>
      <w:t xml:space="preserve">Materi demonstrasi fiktif - bukan bukti transaksi nyata</w:t>
    </w:r>
    <w:r>
      <w:rPr>
        <w:rFonts w:ascii="NotoSerif" w:hAnsi="NotoSerif" w:eastAsia="NotoSerif"/>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Serif" w:hAnsi="NotoSerif" w:eastAsia="NotoSerif"/>
        <w:sz w:val="16"/>
      </w:rPr>
      <w:t xml:space="preserve">Tim Equalang - Formulir Konfirmasi Pasokan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Arial Unicode MS" w:hAnsi="Arial Unicode MS" w:eastAsia="Arial Unicode M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40" w:lineRule="auto"/>
      <w:outlineLvl w:val="0"/>
    </w:pPr>
    <w:rPr>
      <w:rFonts w:asciiTheme="majorHAnsi" w:eastAsiaTheme="majorEastAsia" w:hAnsiTheme="majorHAnsi" w:cstheme="majorBidi" w:ascii="Arial Unicode MS" w:hAnsi="Arial Unicode MS" w:eastAsia="Arial Unicode MS"/>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Unicode MS" w:hAnsi="Arial Unicode MS" w:eastAsia="Arial Unicode MS"/>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40"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40"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陶瓷产品供货与发货确认单</dc:title>
  <dc:subject/>
  <dc:creator>Equalang</dc:creator>
  <cp:keywords/>
  <dc:description>本文档由 Equalang AI 翻译（equalang.com）生成，内容仅供参考。
This document was translated by Equalang AI (equalang.com) and is for informational purposes only.</dc:description>
  <cp:lastModifiedBy>Equalang</cp:lastModifiedBy>
  <cp:revision>1</cp:revision>
  <dcterms:created xsi:type="dcterms:W3CDTF">2013-12-23T23:15:00Z</dcterms:created>
  <dcterms:modified xsi:type="dcterms:W3CDTF">2013-12-23T23:15:00Z</dcterms:modified>
  <cp:category/>
</cp:coreProperties>
</file>