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eastAsia="Times New Roman"/>
          <w:b w:val="0"/>
          <w:i w:val="0"/>
          <w:u w:val="none"/>
        </w:rPr>
        <w:t xml:space="preserve">Confirmation de fourniture et d’expédition de produits en céramique</w:t>
      </w:r>
    </w:p>
    <w:p>
      <w:r>
        <w:rPr>
          <w:rFonts w:ascii="Times New Roman" w:hAnsi="Times New Roman" w:eastAsia="Times New Roman"/>
          <w:b w:val="0"/>
          <w:i w:val="0"/>
          <w:u w:val="none"/>
        </w:rPr>
        <w:t xml:space="preserve">Merci pour votre récente demande de devis. Le présent document vise à confirmer les détails de fourniture, le calendrier de livraison et les conditions de paiement de votre prochaine commande de produits en céramique. Avant de passer au traitement final de la commande, veuillez vérifier l’exactitude des articles, des quantités et des prix indiqués dans le tableau ci-dessous.</w:t>
      </w:r>
    </w:p>
    <w:p>
      <w:pPr>
        <w:pStyle w:val="Heading1"/>
      </w:pPr>
      <w:r>
        <w:rPr>
          <w:rFonts w:ascii="Times New Roman" w:hAnsi="Times New Roman" w:eastAsia="Times New Roman"/>
          <w:b w:val="0"/>
          <w:i w:val="0"/>
          <w:u w:val="none"/>
        </w:rPr>
        <w:t xml:space="preserve">I. Détails des spécifications et des prix</w:t>
      </w:r>
    </w:p>
    <w:p>
      <w:r>
        <w:rPr>
          <w:rFonts w:ascii="Times New Roman" w:hAnsi="Times New Roman" w:eastAsia="Times New Roman"/>
          <w:b w:val="0"/>
          <w:i w:val="0"/>
          <w:u w:val="none"/>
        </w:rPr>
        <w:t xml:space="preserve">Le tableau ci-dessous répertorie les articles en céramique qui vous sont réservés pour ce lot. Tous les prix unitaires sont en dollars américains (USD) et comprennent les frais d’emballage de protection standard pour l’exportation, destiné à éviter que les articles fragiles ne soient endommagés pendant le transport.</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37"/>
        <w:gridCol w:w="3528"/>
        <w:gridCol w:w="1267"/>
        <w:gridCol w:w="1512"/>
        <w:gridCol w:w="1584"/>
      </w:tblGrid>
      <w:tr>
        <w:tc>
          <w:tcPr>
            <w:tcW w:type="dxa" w:w="1037"/>
            <w:shd w:fill="DDEBF7"/>
          </w:tcPr>
          <w:p>
            <w:pPr>
              <w:spacing w:after="80" w:before="80"/>
            </w:pPr>
            <w:r>
              <w:rPr>
                <w:rFonts w:ascii="Times New Roman" w:hAnsi="Times New Roman" w:eastAsia="Times New Roman"/>
                <w:b/>
                <w:i w:val="0"/>
                <w:u w:val="none"/>
              </w:rPr>
              <w:t xml:space="preserve">Référence article</w:t>
            </w:r>
          </w:p>
        </w:tc>
        <w:tc>
          <w:tcPr>
            <w:tcW w:type="dxa" w:w="3528"/>
            <w:shd w:fill="DDEBF7"/>
          </w:tcPr>
          <w:p>
            <w:pPr>
              <w:spacing w:after="80" w:before="80"/>
            </w:pPr>
            <w:r>
              <w:rPr>
                <w:rFonts w:ascii="Times New Roman" w:hAnsi="Times New Roman" w:eastAsia="Times New Roman"/>
                <w:b/>
                <w:i w:val="0"/>
                <w:u w:val="none"/>
              </w:rPr>
              <w:t xml:space="preserve">Désignation</w:t>
            </w:r>
          </w:p>
        </w:tc>
        <w:tc>
          <w:tcPr>
            <w:tcW w:type="dxa" w:w="1267"/>
            <w:shd w:fill="DDEBF7"/>
          </w:tcPr>
          <w:p>
            <w:pPr>
              <w:spacing w:after="80" w:before="80"/>
            </w:pPr>
            <w:r>
              <w:rPr>
                <w:rFonts w:ascii="Times New Roman" w:hAnsi="Times New Roman" w:eastAsia="Times New Roman"/>
                <w:b/>
                <w:i w:val="0"/>
                <w:u w:val="none"/>
              </w:rPr>
              <w:t xml:space="preserve">Quantité</w:t>
            </w:r>
          </w:p>
        </w:tc>
        <w:tc>
          <w:tcPr>
            <w:tcW w:type="dxa" w:w="1512"/>
            <w:shd w:fill="DDEBF7"/>
          </w:tcPr>
          <w:p>
            <w:pPr>
              <w:spacing w:after="80" w:before="80"/>
            </w:pPr>
            <w:r>
              <w:rPr>
                <w:rFonts w:ascii="Times New Roman" w:hAnsi="Times New Roman" w:eastAsia="Times New Roman"/>
                <w:b/>
                <w:i w:val="0"/>
                <w:u w:val="none"/>
              </w:rPr>
              <w:t xml:space="preserve">Prix unitaire (USD)</w:t>
            </w:r>
          </w:p>
        </w:tc>
        <w:tc>
          <w:tcPr>
            <w:tcW w:type="dxa" w:w="1584"/>
            <w:shd w:fill="DDEBF7"/>
          </w:tcPr>
          <w:p>
            <w:pPr>
              <w:spacing w:after="80" w:before="80"/>
            </w:pPr>
            <w:r>
              <w:rPr>
                <w:rFonts w:ascii="Times New Roman" w:hAnsi="Times New Roman" w:eastAsia="Times New Roman"/>
                <w:b/>
                <w:i w:val="0"/>
                <w:u w:val="none"/>
              </w:rPr>
              <w:t xml:space="preserve">Prix total (USD)</w:t>
            </w:r>
          </w:p>
        </w:tc>
      </w:tr>
      <w:tr>
        <w:tc>
          <w:tcPr>
            <w:tcW w:type="dxa" w:w="1037"/>
          </w:tcPr>
          <w:p>
            <w:pPr>
              <w:spacing w:after="80" w:before="80"/>
            </w:pPr>
            <w:r>
              <w:rPr>
                <w:rFonts w:ascii="Times New Roman" w:hAnsi="Times New Roman" w:eastAsia="Times New Roman"/>
                <w:b w:val="0"/>
                <w:i w:val="0"/>
                <w:u w:val="none"/>
              </w:rPr>
              <w:t xml:space="preserve">TC-101</w:t>
            </w:r>
          </w:p>
        </w:tc>
        <w:tc>
          <w:tcPr>
            <w:tcW w:type="dxa" w:w="3528"/>
          </w:tcPr>
          <w:p>
            <w:pPr>
              <w:spacing w:after="80" w:before="80"/>
            </w:pPr>
            <w:r>
              <w:rPr>
                <w:rFonts w:ascii="Times New Roman" w:hAnsi="Times New Roman" w:eastAsia="Times New Roman"/>
                <w:b w:val="0"/>
                <w:i w:val="0"/>
                <w:u w:val="none"/>
              </w:rPr>
              <w:t xml:space="preserve">Ensemble d’assiettes à dîner émaillées</w:t>
            </w:r>
          </w:p>
        </w:tc>
        <w:tc>
          <w:tcPr>
            <w:tcW w:type="dxa" w:w="1267"/>
          </w:tcPr>
          <w:p>
            <w:pPr>
              <w:spacing w:after="80" w:before="80"/>
            </w:pPr>
            <w:r>
              <w:rPr>
                <w:rFonts w:ascii="Times New Roman" w:hAnsi="Times New Roman" w:eastAsia="Times New Roman"/>
                <w:b w:val="0"/>
                <w:i w:val="0"/>
                <w:u w:val="none"/>
              </w:rPr>
              <w:t xml:space="preserve">500</w:t>
            </w:r>
          </w:p>
        </w:tc>
        <w:tc>
          <w:tcPr>
            <w:tcW w:type="dxa" w:w="1512"/>
          </w:tcPr>
          <w:p>
            <w:pPr>
              <w:spacing w:after="80" w:before="80"/>
            </w:pPr>
            <w:r>
              <w:rPr>
                <w:rFonts w:ascii="Times New Roman" w:hAnsi="Times New Roman" w:eastAsia="Times New Roman"/>
                <w:b w:val="0"/>
                <w:i w:val="0"/>
                <w:u w:val="none"/>
              </w:rPr>
              <w:t xml:space="preserve">6.50</w:t>
            </w:r>
          </w:p>
        </w:tc>
        <w:tc>
          <w:tcPr>
            <w:tcW w:type="dxa" w:w="1584"/>
          </w:tcPr>
          <w:p>
            <w:pPr>
              <w:spacing w:after="80" w:before="80"/>
            </w:pPr>
            <w:r>
              <w:rPr>
                <w:rFonts w:ascii="Times New Roman" w:hAnsi="Times New Roman" w:eastAsia="Times New Roman"/>
                <w:b w:val="0"/>
                <w:i w:val="0"/>
                <w:u w:val="none"/>
              </w:rPr>
              <w:t xml:space="preserve">3,250.00</w:t>
            </w:r>
          </w:p>
        </w:tc>
      </w:tr>
      <w:tr>
        <w:tc>
          <w:tcPr>
            <w:tcW w:type="dxa" w:w="1037"/>
          </w:tcPr>
          <w:p>
            <w:pPr>
              <w:spacing w:after="80" w:before="80"/>
            </w:pPr>
            <w:r>
              <w:rPr>
                <w:rFonts w:ascii="Times New Roman" w:hAnsi="Times New Roman" w:eastAsia="Times New Roman"/>
                <w:b w:val="0"/>
                <w:i w:val="0"/>
                <w:u w:val="none"/>
              </w:rPr>
              <w:t xml:space="preserve">TC-102</w:t>
            </w:r>
          </w:p>
        </w:tc>
        <w:tc>
          <w:tcPr>
            <w:tcW w:type="dxa" w:w="3528"/>
          </w:tcPr>
          <w:p>
            <w:pPr>
              <w:spacing w:after="80" w:before="80"/>
            </w:pPr>
            <w:r>
              <w:rPr>
                <w:rFonts w:ascii="Times New Roman" w:hAnsi="Times New Roman" w:eastAsia="Times New Roman"/>
                <w:b w:val="0"/>
                <w:i w:val="0"/>
                <w:u w:val="none"/>
              </w:rPr>
              <w:t xml:space="preserve">Service à thé en porcelaine blanche fait main</w:t>
            </w:r>
          </w:p>
        </w:tc>
        <w:tc>
          <w:tcPr>
            <w:tcW w:type="dxa" w:w="1267"/>
          </w:tcPr>
          <w:p>
            <w:pPr>
              <w:spacing w:after="80" w:before="80"/>
            </w:pPr>
            <w:r>
              <w:rPr>
                <w:rFonts w:ascii="Times New Roman" w:hAnsi="Times New Roman" w:eastAsia="Times New Roman"/>
                <w:b w:val="0"/>
                <w:i w:val="0"/>
                <w:u w:val="none"/>
              </w:rPr>
              <w:t xml:space="preserve">200</w:t>
            </w:r>
          </w:p>
        </w:tc>
        <w:tc>
          <w:tcPr>
            <w:tcW w:type="dxa" w:w="1512"/>
          </w:tcPr>
          <w:p>
            <w:pPr>
              <w:spacing w:after="80" w:before="80"/>
            </w:pPr>
            <w:r>
              <w:rPr>
                <w:rFonts w:ascii="Times New Roman" w:hAnsi="Times New Roman" w:eastAsia="Times New Roman"/>
                <w:b w:val="0"/>
                <w:i w:val="0"/>
                <w:u w:val="none"/>
              </w:rPr>
              <w:t xml:space="preserve">17.50</w:t>
            </w:r>
          </w:p>
        </w:tc>
        <w:tc>
          <w:tcPr>
            <w:tcW w:type="dxa" w:w="1584"/>
          </w:tcPr>
          <w:p>
            <w:pPr>
              <w:spacing w:after="80" w:before="80"/>
            </w:pPr>
            <w:r>
              <w:rPr>
                <w:rFonts w:ascii="Times New Roman" w:hAnsi="Times New Roman" w:eastAsia="Times New Roman"/>
                <w:b w:val="0"/>
                <w:i w:val="0"/>
                <w:u w:val="none"/>
              </w:rPr>
              <w:t xml:space="preserve">3,500.00</w:t>
            </w:r>
          </w:p>
        </w:tc>
      </w:tr>
      <w:tr>
        <w:tc>
          <w:tcPr>
            <w:tcW w:type="dxa" w:w="1037"/>
          </w:tcPr>
          <w:p>
            <w:pPr>
              <w:spacing w:after="80" w:before="80"/>
            </w:pPr>
            <w:r>
              <w:rPr>
                <w:rFonts w:ascii="Times New Roman" w:hAnsi="Times New Roman" w:eastAsia="Times New Roman"/>
                <w:b w:val="0"/>
                <w:i w:val="0"/>
                <w:u w:val="none"/>
              </w:rPr>
              <w:t xml:space="preserve">TC-103</w:t>
            </w:r>
          </w:p>
        </w:tc>
        <w:tc>
          <w:tcPr>
            <w:tcW w:type="dxa" w:w="3528"/>
          </w:tcPr>
          <w:p>
            <w:pPr>
              <w:spacing w:after="80" w:before="80"/>
            </w:pPr>
            <w:r>
              <w:rPr>
                <w:rFonts w:ascii="Times New Roman" w:hAnsi="Times New Roman" w:eastAsia="Times New Roman"/>
                <w:b w:val="0"/>
                <w:i w:val="0"/>
                <w:u w:val="none"/>
              </w:rPr>
              <w:t xml:space="preserve">Vase minimaliste</w:t>
            </w:r>
          </w:p>
        </w:tc>
        <w:tc>
          <w:tcPr>
            <w:tcW w:type="dxa" w:w="1267"/>
          </w:tcPr>
          <w:p>
            <w:pPr>
              <w:spacing w:after="80" w:before="80"/>
            </w:pPr>
            <w:r>
              <w:rPr>
                <w:rFonts w:ascii="Times New Roman" w:hAnsi="Times New Roman" w:eastAsia="Times New Roman"/>
                <w:b w:val="0"/>
                <w:i w:val="0"/>
                <w:u w:val="none"/>
              </w:rPr>
              <w:t xml:space="preserve">150</w:t>
            </w:r>
          </w:p>
        </w:tc>
        <w:tc>
          <w:tcPr>
            <w:tcW w:type="dxa" w:w="1512"/>
          </w:tcPr>
          <w:p>
            <w:pPr>
              <w:spacing w:after="80" w:before="80"/>
            </w:pPr>
            <w:r>
              <w:rPr>
                <w:rFonts w:ascii="Times New Roman" w:hAnsi="Times New Roman" w:eastAsia="Times New Roman"/>
                <w:b w:val="0"/>
                <w:i w:val="0"/>
                <w:u w:val="none"/>
              </w:rPr>
              <w:t xml:space="preserve">12.00</w:t>
            </w:r>
          </w:p>
        </w:tc>
        <w:tc>
          <w:tcPr>
            <w:tcW w:type="dxa" w:w="1584"/>
          </w:tcPr>
          <w:p>
            <w:pPr>
              <w:spacing w:after="80" w:before="80"/>
            </w:pPr>
            <w:r>
              <w:rPr>
                <w:rFonts w:ascii="Times New Roman" w:hAnsi="Times New Roman" w:eastAsia="Times New Roman"/>
                <w:b w:val="0"/>
                <w:i w:val="0"/>
                <w:u w:val="none"/>
              </w:rPr>
              <w:t xml:space="preserve">1,800.00</w:t>
            </w:r>
          </w:p>
        </w:tc>
      </w:tr>
    </w:tbl>
    <w:p>
      <w:r>
        <w:rPr>
          <w:rFonts w:ascii="Times New Roman" w:hAnsi="Times New Roman" w:eastAsia="Times New Roman"/>
          <w:b w:val="0"/>
          <w:i/>
          <w:u w:val="none"/>
        </w:rPr>
        <w:t xml:space="preserve">Remarque : la valeur totale de cette commande s’élève à 8 550,00 dollars américains. Des frais supplémentaires minimes seront facturés, le cas échéant, pour l’impression d’un logo personnalisé ou l’ajout d’étiquettes de vente au détail spécifiques.</w:t>
      </w:r>
    </w:p>
    <w:p>
      <w:pPr>
        <w:pStyle w:val="Heading1"/>
      </w:pPr>
      <w:r>
        <w:rPr>
          <w:rFonts w:ascii="Times New Roman" w:hAnsi="Times New Roman" w:eastAsia="Times New Roman"/>
          <w:b w:val="0"/>
          <w:i w:val="0"/>
          <w:u w:val="none"/>
        </w:rPr>
        <w:t xml:space="preserve">II. Normes d’emballage et calendrier de livraison</w:t>
      </w:r>
    </w:p>
    <w:p>
      <w:r>
        <w:rPr>
          <w:rFonts w:ascii="Times New Roman" w:hAnsi="Times New Roman" w:eastAsia="Times New Roman"/>
          <w:b w:val="0"/>
          <w:i w:val="0"/>
          <w:u w:val="none"/>
        </w:rPr>
        <w:t xml:space="preserve">Afin de garantir la livraison en toute sécurité des marchandises fragiles, nous avons prévu les normes logistiques et d’emballage suivantes :</w:t>
      </w:r>
    </w:p>
    <w:p>
      <w:pPr>
        <w:pStyle w:val="ListBullet"/>
      </w:pPr>
      <w:r>
        <w:rPr>
          <w:rFonts w:ascii="Times New Roman" w:hAnsi="Times New Roman" w:eastAsia="Times New Roman"/>
          <w:b/>
          <w:i w:val="0"/>
          <w:u w:val="none"/>
        </w:rPr>
        <w:t xml:space="preserve">Emballage de protection contre les dommages</w:t>
      </w:r>
      <w:r>
        <w:rPr>
          <w:rFonts w:ascii="Times New Roman" w:hAnsi="Times New Roman" w:eastAsia="Times New Roman"/>
          <w:b w:val="0"/>
          <w:i w:val="0"/>
          <w:u w:val="none"/>
        </w:rPr>
        <w:t xml:space="preserve"> : chaque article sera emballé individuellement dans un </w:t>
      </w:r>
      <w:r>
        <w:rPr>
          <w:rFonts w:ascii="Times New Roman" w:hAnsi="Times New Roman" w:eastAsia="Times New Roman"/>
          <w:b w:val="0"/>
          <w:i w:val="0"/>
          <w:color w:val="005C4D"/>
          <w:u w:val="single"/>
        </w:rPr>
        <w:t xml:space="preserve">carton ondulé renforcé à cinq couches</w:t>
      </w:r>
      <w:r>
        <w:rPr>
          <w:rFonts w:ascii="Times New Roman" w:hAnsi="Times New Roman" w:eastAsia="Times New Roman"/>
          <w:b w:val="0"/>
          <w:i w:val="0"/>
          <w:u w:val="none"/>
        </w:rPr>
        <w:t xml:space="preserve">, avec une mousse antichoc sur mesure.</w:t>
      </w:r>
    </w:p>
    <w:p>
      <w:pPr>
        <w:pStyle w:val="ListBullet"/>
      </w:pPr>
      <w:r>
        <w:rPr>
          <w:rFonts w:ascii="Times New Roman" w:hAnsi="Times New Roman" w:eastAsia="Times New Roman"/>
          <w:b/>
          <w:i w:val="0"/>
          <w:u w:val="none"/>
        </w:rPr>
        <w:t xml:space="preserve">Conditions de transport maritime</w:t>
      </w:r>
      <w:r>
        <w:rPr>
          <w:rFonts w:ascii="Times New Roman" w:hAnsi="Times New Roman" w:eastAsia="Times New Roman"/>
          <w:b w:val="0"/>
          <w:i w:val="0"/>
          <w:u w:val="none"/>
        </w:rPr>
        <w:t xml:space="preserve"> : cette transaction est soumise aux conditions FOB standard, Port de Shenzhen (FOB Shenzhen Port).</w:t>
      </w:r>
    </w:p>
    <w:p>
      <w:pPr>
        <w:pStyle w:val="ListBullet"/>
      </w:pPr>
      <w:r>
        <w:rPr>
          <w:rFonts w:ascii="Times New Roman" w:hAnsi="Times New Roman" w:eastAsia="Times New Roman"/>
          <w:b/>
          <w:i w:val="0"/>
          <w:u w:val="none"/>
        </w:rPr>
        <w:t xml:space="preserve">Délai de préparation de la commande</w:t>
      </w:r>
      <w:r>
        <w:rPr>
          <w:rFonts w:ascii="Times New Roman" w:hAnsi="Times New Roman" w:eastAsia="Times New Roman"/>
          <w:b w:val="0"/>
          <w:i w:val="0"/>
          <w:u w:val="none"/>
        </w:rPr>
        <w:t xml:space="preserve"> : après réception de votre confirmation, les marchandises seront livrées au terminal d’exportation désigné sous </w:t>
      </w:r>
      <w:r>
        <w:rPr>
          <w:rFonts w:ascii="Times New Roman" w:hAnsi="Times New Roman" w:eastAsia="Times New Roman"/>
          <w:b/>
          <w:i w:val="0"/>
          <w:u w:val="none"/>
        </w:rPr>
        <w:t xml:space="preserve">10 jours ouvrables</w:t>
      </w:r>
      <w:r>
        <w:rPr>
          <w:rFonts w:ascii="Times New Roman" w:hAnsi="Times New Roman" w:eastAsia="Times New Roman"/>
          <w:b w:val="0"/>
          <w:i w:val="0"/>
          <w:u w:val="none"/>
        </w:rPr>
        <w:t xml:space="preserve">.</w:t>
      </w:r>
    </w:p>
    <w:p>
      <w:pPr>
        <w:pStyle w:val="ListBullet"/>
      </w:pPr>
      <w:r>
        <w:rPr>
          <w:rFonts w:ascii="Times New Roman" w:hAnsi="Times New Roman" w:eastAsia="Times New Roman"/>
          <w:b/>
          <w:i w:val="0"/>
          <w:u w:val="none"/>
        </w:rPr>
        <w:t xml:space="preserve">Inspection en usine</w:t>
      </w:r>
      <w:r>
        <w:rPr>
          <w:rFonts w:ascii="Times New Roman" w:hAnsi="Times New Roman" w:eastAsia="Times New Roman"/>
          <w:b w:val="0"/>
          <w:i w:val="0"/>
          <w:u w:val="none"/>
        </w:rPr>
        <w:t xml:space="preserve"> : avant la mise en carton, nous fournirons un rapport d’inspection avant expédition comprenant des photos réelles.</w:t>
      </w:r>
    </w:p>
    <w:p>
      <w:pPr>
        <w:pStyle w:val="Heading1"/>
      </w:pPr>
      <w:r>
        <w:rPr>
          <w:rFonts w:ascii="Times New Roman" w:hAnsi="Times New Roman" w:eastAsia="Times New Roman"/>
          <w:b w:val="0"/>
          <w:i w:val="0"/>
          <w:u w:val="none"/>
        </w:rPr>
        <w:t xml:space="preserve">III. Échéancier des paiements et prochaines étapes</w:t>
      </w:r>
    </w:p>
    <w:p>
      <w:r>
        <w:rPr>
          <w:rFonts w:ascii="Times New Roman" w:hAnsi="Times New Roman" w:eastAsia="Times New Roman"/>
          <w:b w:val="0"/>
          <w:i w:val="0"/>
          <w:u w:val="none"/>
        </w:rPr>
        <w:t xml:space="preserve">Afin de confirmer la commande et de réserver le créneau de production, veuillez effectuer les paiements selon l’échéancier suivant :</w:t>
      </w:r>
    </w:p>
    <w:p>
      <w:pPr>
        <w:pStyle w:val="ListNumber"/>
      </w:pPr>
      <w:r>
        <w:rPr>
          <w:rFonts w:ascii="Times New Roman" w:hAnsi="Times New Roman" w:eastAsia="Times New Roman"/>
          <w:b w:val="0"/>
          <w:i w:val="0"/>
          <w:u w:val="none"/>
        </w:rPr>
        <w:t xml:space="preserve">Veuillez verser un acompte correspondant à 30 % du montant total de la commande (soit 2 565,00 dollars américains) avant le début de la production et de la préparation des marchandises.</w:t>
      </w:r>
    </w:p>
    <w:p>
      <w:pPr>
        <w:pStyle w:val="ListNumber"/>
      </w:pPr>
      <w:r>
        <w:rPr>
          <w:rFonts w:ascii="Times New Roman" w:hAnsi="Times New Roman" w:eastAsia="Times New Roman"/>
          <w:b w:val="0"/>
          <w:i w:val="0"/>
          <w:u w:val="none"/>
        </w:rPr>
        <w:t xml:space="preserve">Le solde de 70 % (soit 5 985,00 dollars américains) devra être réglé dans les </w:t>
      </w:r>
      <w:r>
        <w:rPr>
          <w:rFonts w:ascii="Times New Roman" w:hAnsi="Times New Roman" w:eastAsia="Times New Roman"/>
          <w:b/>
          <w:i w:val="0"/>
          <w:u w:val="none"/>
        </w:rPr>
        <w:t xml:space="preserve">5 jours suivant la réception d’une copie du connaissement (B/L)</w:t>
      </w:r>
      <w:r>
        <w:rPr>
          <w:rFonts w:ascii="Times New Roman" w:hAnsi="Times New Roman" w:eastAsia="Times New Roman"/>
          <w:b w:val="0"/>
          <w:i w:val="0"/>
          <w:u w:val="none"/>
        </w:rPr>
        <w:t xml:space="preserve">.</w:t>
      </w:r>
    </w:p>
    <w:p>
      <w:r>
        <w:rPr>
          <w:rFonts w:ascii="Times New Roman" w:hAnsi="Times New Roman" w:eastAsia="Times New Roman"/>
          <w:b w:val="0"/>
          <w:i w:val="0"/>
          <w:u w:val="none"/>
        </w:rPr>
        <w:t xml:space="preserve">Si toutes les conditions ci-dessus sont exactes, veuillez répondre « J’accepte et confirme » avant </w:t>
      </w:r>
      <w:r>
        <w:rPr>
          <w:rFonts w:ascii="Times New Roman" w:hAnsi="Times New Roman" w:eastAsia="Times New Roman"/>
          <w:b/>
          <w:i w:val="0"/>
          <w:u w:val="none"/>
        </w:rPr>
        <w:t xml:space="preserve">vendredi de cette semaine à 17 h</w:t>
      </w:r>
      <w:r>
        <w:rPr>
          <w:rFonts w:ascii="Times New Roman" w:hAnsi="Times New Roman" w:eastAsia="Times New Roman"/>
          <w:b w:val="0"/>
          <w:i w:val="0"/>
          <w:u w:val="none"/>
        </w:rPr>
        <w:t xml:space="preserve">. Dès réception de votre confirmation, notre équipe réservera immédiatement le stock et lancera le processus d’emballage et d’expédition.</w:t>
      </w:r>
    </w:p>
    <w:p>
      <w:r>
        <w:rPr>
          <w:rFonts w:ascii="Times New Roman" w:hAnsi="Times New Roman" w:eastAsia="Times New Roman"/>
          <w:b w:val="0"/>
          <w:i w:val="0"/>
          <w:u w:val="none"/>
        </w:rPr>
        <w:t xml:space="preserve">Cordialement,</w:t>
      </w:r>
    </w:p>
    <w:p>
      <w:r>
        <w:rPr>
          <w:rFonts w:ascii="Times New Roman" w:hAnsi="Times New Roman" w:eastAsia="Times New Roman"/>
          <w:b w:val="0"/>
          <w:i w:val="0"/>
          <w:u w:val="none"/>
        </w:rPr>
        <w:t xml:space="preserve">Équipe Equalang</w:t>
      </w:r>
    </w:p>
    <w:sectPr w:rsidR="00FC693F" w:rsidRPr="0006063C" w:rsidSect="00034616">
      <w:headerReference w:type="default" r:id="rId9"/>
      <w:footerReference w:type="default" r:id="rId10"/>
      <w:pgSz w:w="11909" w:h="16834"/>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Times New Roman" w:hAnsi="Times New Roman" w:eastAsia="Times New Roman"/>
        <w:sz w:val="16"/>
      </w:rPr>
      <w:t xml:space="preserve">Matériel de démonstration fictif - ne constitue pas une preuve de transaction réelle</w:t>
    </w:r>
    <w:r>
      <w:rPr>
        <w:rFonts w:ascii="Times New Roman" w:hAnsi="Times New Roman" w:eastAsia="Times New Roman"/>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Times New Roman" w:hAnsi="Times New Roman" w:eastAsia="Times New Roman"/>
        <w:sz w:val="16"/>
      </w:rPr>
      <w:t xml:space="preserve">Équipe Equalang - Confirmation de fourniture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Arial Unicode MS" w:hAnsi="Arial Unicode MS" w:eastAsia="Arial Unicode M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40" w:lineRule="auto"/>
      <w:outlineLvl w:val="0"/>
    </w:pPr>
    <w:rPr>
      <w:rFonts w:asciiTheme="majorHAnsi" w:eastAsiaTheme="majorEastAsia" w:hAnsiTheme="majorHAnsi" w:cstheme="majorBidi" w:ascii="Arial Unicode MS" w:hAnsi="Arial Unicode MS" w:eastAsia="Arial Unicode M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Unicode MS" w:hAnsi="Arial Unicode MS" w:eastAsia="Arial Unicode MS"/>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陶瓷产品供货与发货确认单</dc:title>
  <dc:subject/>
  <dc:creator>Equalang</dc:creator>
  <cp:keywords/>
  <dc:description>本文档由 Equalang AI 翻译（equalang.com）生成，内容仅供参考。
This document was translated by Equalang AI (equalang.com) and is for informational purposes only.</dc:description>
  <cp:lastModifiedBy>Equalang</cp:lastModifiedBy>
  <cp:revision>1</cp:revision>
  <dcterms:created xsi:type="dcterms:W3CDTF">2013-12-23T23:15:00Z</dcterms:created>
  <dcterms:modified xsi:type="dcterms:W3CDTF">2013-12-23T23:15:00Z</dcterms:modified>
  <cp:category/>
</cp:coreProperties>
</file>