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Times New Roman" w:hAnsi="Times New Roman" w:eastAsia="Times New Roman"/>
          <w:b w:val="0"/>
          <w:i w:val="0"/>
          <w:u w:val="none"/>
        </w:rPr>
        <w:t xml:space="preserve">Confirmación de suministro y envío de productos cerámicos</w:t>
      </w:r>
    </w:p>
    <w:p>
      <w:r>
        <w:rPr>
          <w:rFonts w:ascii="Times New Roman" w:hAnsi="Times New Roman" w:eastAsia="Times New Roman"/>
          <w:b w:val="0"/>
          <w:i w:val="0"/>
          <w:u w:val="none"/>
        </w:rPr>
        <w:t xml:space="preserve">Gracias por su reciente solicitud de cotización. Este documento tiene como objetivo confirmar los detalles específicos del suministro, el calendario de entrega y las condiciones de pago del pedido de productos cerámicos que está a punto de realizar. Antes de pasar al procesamiento final del pedido, compruebe que los productos, las cantidades y los precios de la tabla siguiente sean correctos.</w:t>
      </w:r>
    </w:p>
    <w:p>
      <w:pPr>
        <w:pStyle w:val="Heading1"/>
      </w:pPr>
      <w:r>
        <w:rPr>
          <w:rFonts w:ascii="Times New Roman" w:hAnsi="Times New Roman" w:eastAsia="Times New Roman"/>
          <w:b w:val="0"/>
          <w:i w:val="0"/>
          <w:u w:val="none"/>
        </w:rPr>
        <w:t xml:space="preserve">I. Especificaciones de los productos y desglose de precios</w:t>
      </w:r>
    </w:p>
    <w:p>
      <w:r>
        <w:rPr>
          <w:rFonts w:ascii="Times New Roman" w:hAnsi="Times New Roman" w:eastAsia="Times New Roman"/>
          <w:b w:val="0"/>
          <w:i w:val="0"/>
          <w:u w:val="none"/>
        </w:rPr>
        <w:t xml:space="preserve">La tabla siguiente muestra los detalles de los productos cerámicos reservados para usted en este lote. Todos los precios unitarios están expresados en dólares estadounidenses (USD) e incluyen el costo del embalaje protector estándar de exportación para evitar que los artículos frágiles sufran daños durante el transporte.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37"/>
        <w:gridCol w:w="3528"/>
        <w:gridCol w:w="1267"/>
        <w:gridCol w:w="1512"/>
        <w:gridCol w:w="1584"/>
      </w:tblGrid>
      <w:tr>
        <w:tc>
          <w:tcPr>
            <w:tcW w:type="dxa" w:w="1037"/>
            <w:shd w:fill="DDEBF7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/>
                <w:i w:val="0"/>
                <w:u w:val="none"/>
              </w:rPr>
              <w:t xml:space="preserve">Código del artículo</w:t>
            </w:r>
          </w:p>
        </w:tc>
        <w:tc>
          <w:tcPr>
            <w:tcW w:type="dxa" w:w="3528"/>
            <w:shd w:fill="DDEBF7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/>
                <w:i w:val="0"/>
                <w:u w:val="none"/>
              </w:rPr>
              <w:t xml:space="preserve">Nombre del producto</w:t>
            </w:r>
          </w:p>
        </w:tc>
        <w:tc>
          <w:tcPr>
            <w:tcW w:type="dxa" w:w="1267"/>
            <w:shd w:fill="DDEBF7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/>
                <w:i w:val="0"/>
                <w:u w:val="none"/>
              </w:rPr>
              <w:t xml:space="preserve">Cantidad</w:t>
            </w:r>
          </w:p>
        </w:tc>
        <w:tc>
          <w:tcPr>
            <w:tcW w:type="dxa" w:w="1512"/>
            <w:shd w:fill="DDEBF7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/>
                <w:i w:val="0"/>
                <w:u w:val="none"/>
              </w:rPr>
              <w:t xml:space="preserve">Precio unitario (dólares estadounidenses)</w:t>
            </w:r>
          </w:p>
        </w:tc>
        <w:tc>
          <w:tcPr>
            <w:tcW w:type="dxa" w:w="1584"/>
            <w:shd w:fill="DDEBF7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/>
                <w:i w:val="0"/>
                <w:u w:val="none"/>
              </w:rPr>
              <w:t xml:space="preserve">Precio total (dólares estadounidenses)</w:t>
            </w:r>
          </w:p>
        </w:tc>
      </w:tr>
      <w:tr>
        <w:tc>
          <w:tcPr>
            <w:tcW w:type="dxa" w:w="1037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TC-101</w:t>
            </w:r>
          </w:p>
        </w:tc>
        <w:tc>
          <w:tcPr>
            <w:tcW w:type="dxa" w:w="3528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Juego de platos llanos esmaltados</w:t>
            </w:r>
          </w:p>
        </w:tc>
        <w:tc>
          <w:tcPr>
            <w:tcW w:type="dxa" w:w="1267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500</w:t>
            </w:r>
          </w:p>
        </w:tc>
        <w:tc>
          <w:tcPr>
            <w:tcW w:type="dxa" w:w="1512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6.50</w:t>
            </w:r>
          </w:p>
        </w:tc>
        <w:tc>
          <w:tcPr>
            <w:tcW w:type="dxa" w:w="1584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3,250.00</w:t>
            </w:r>
          </w:p>
        </w:tc>
      </w:tr>
      <w:tr>
        <w:tc>
          <w:tcPr>
            <w:tcW w:type="dxa" w:w="1037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TC-102</w:t>
            </w:r>
          </w:p>
        </w:tc>
        <w:tc>
          <w:tcPr>
            <w:tcW w:type="dxa" w:w="3528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Juego de té de porcelana blanca artesanal</w:t>
            </w:r>
          </w:p>
        </w:tc>
        <w:tc>
          <w:tcPr>
            <w:tcW w:type="dxa" w:w="1267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200</w:t>
            </w:r>
          </w:p>
        </w:tc>
        <w:tc>
          <w:tcPr>
            <w:tcW w:type="dxa" w:w="1512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17.50</w:t>
            </w:r>
          </w:p>
        </w:tc>
        <w:tc>
          <w:tcPr>
            <w:tcW w:type="dxa" w:w="1584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3,500.00</w:t>
            </w:r>
          </w:p>
        </w:tc>
      </w:tr>
      <w:tr>
        <w:tc>
          <w:tcPr>
            <w:tcW w:type="dxa" w:w="1037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TC-103</w:t>
            </w:r>
          </w:p>
        </w:tc>
        <w:tc>
          <w:tcPr>
            <w:tcW w:type="dxa" w:w="3528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Jarrón de diseño minimalista</w:t>
            </w:r>
          </w:p>
        </w:tc>
        <w:tc>
          <w:tcPr>
            <w:tcW w:type="dxa" w:w="1267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150</w:t>
            </w:r>
          </w:p>
        </w:tc>
        <w:tc>
          <w:tcPr>
            <w:tcW w:type="dxa" w:w="1512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12.00</w:t>
            </w:r>
          </w:p>
        </w:tc>
        <w:tc>
          <w:tcPr>
            <w:tcW w:type="dxa" w:w="1584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1,800.00</w:t>
            </w:r>
          </w:p>
        </w:tc>
      </w:tr>
    </w:tbl>
    <w:p>
      <w:r>
        <w:rPr>
          <w:rFonts w:ascii="Times New Roman" w:hAnsi="Times New Roman" w:eastAsia="Times New Roman"/>
          <w:b w:val="0"/>
          <w:i/>
          <w:u w:val="none"/>
        </w:rPr>
        <w:t xml:space="preserve">Nota: El valor total de este pedido es de 8,550.00 dólares estadounidenses. Si necesita imprimir un logotipo de marca personalizado o añadir etiquetas especiales para la venta al por menor, se aplicará un pequeño cargo adicional según corresponda.</w:t>
      </w:r>
    </w:p>
    <w:p>
      <w:pPr>
        <w:pStyle w:val="Heading1"/>
      </w:pPr>
      <w:r>
        <w:rPr>
          <w:rFonts w:ascii="Times New Roman" w:hAnsi="Times New Roman" w:eastAsia="Times New Roman"/>
          <w:b w:val="0"/>
          <w:i w:val="0"/>
          <w:u w:val="none"/>
        </w:rPr>
        <w:t xml:space="preserve">II. Normas de embalaje y calendario de entrega</w:t>
      </w:r>
    </w:p>
    <w:p>
      <w:r>
        <w:rPr>
          <w:rFonts w:ascii="Times New Roman" w:hAnsi="Times New Roman" w:eastAsia="Times New Roman"/>
          <w:b w:val="0"/>
          <w:i w:val="0"/>
          <w:u w:val="none"/>
        </w:rPr>
        <w:t xml:space="preserve">Para garantizar que la carga frágil llegue a salvo, hemos dispuesto las siguientes normas de embalaje y logística:</w:t>
      </w:r>
    </w:p>
    <w:p>
      <w:pPr>
        <w:pStyle w:val="ListBullet"/>
      </w:pPr>
      <w:r>
        <w:rPr>
          <w:rFonts w:ascii="Times New Roman" w:hAnsi="Times New Roman" w:eastAsia="Times New Roman"/>
          <w:b/>
          <w:i w:val="0"/>
          <w:u w:val="none"/>
        </w:rPr>
        <w:t xml:space="preserve">Embalaje de protección contra daños</w:t>
      </w:r>
      <w:r>
        <w:rPr>
          <w:rFonts w:ascii="Times New Roman" w:hAnsi="Times New Roman" w:eastAsia="Times New Roman"/>
          <w:b w:val="0"/>
          <w:i w:val="0"/>
          <w:u w:val="none"/>
        </w:rPr>
        <w:t xml:space="preserve">: Cada producto se embalará individualmente en una </w:t>
      </w:r>
      <w:r>
        <w:rPr>
          <w:rFonts w:ascii="Times New Roman" w:hAnsi="Times New Roman" w:eastAsia="Times New Roman"/>
          <w:b w:val="0"/>
          <w:i w:val="0"/>
          <w:color w:val="005C4D"/>
          <w:u w:val="single"/>
        </w:rPr>
        <w:t xml:space="preserve">caja de cartón corrugado reforzada de cinco capas</w:t>
      </w:r>
      <w:r>
        <w:rPr>
          <w:rFonts w:ascii="Times New Roman" w:hAnsi="Times New Roman" w:eastAsia="Times New Roman"/>
          <w:b w:val="0"/>
          <w:i w:val="0"/>
          <w:u w:val="none"/>
        </w:rPr>
        <w:t xml:space="preserve"> y llevará espuma amortiguadora hecha a medida.</w:t>
      </w:r>
    </w:p>
    <w:p>
      <w:pPr>
        <w:pStyle w:val="ListBullet"/>
      </w:pPr>
      <w:r>
        <w:rPr>
          <w:rFonts w:ascii="Times New Roman" w:hAnsi="Times New Roman" w:eastAsia="Times New Roman"/>
          <w:b/>
          <w:i w:val="0"/>
          <w:u w:val="none"/>
        </w:rPr>
        <w:t xml:space="preserve">Condiciones de transporte marítimo</w:t>
      </w:r>
      <w:r>
        <w:rPr>
          <w:rFonts w:ascii="Times New Roman" w:hAnsi="Times New Roman" w:eastAsia="Times New Roman"/>
          <w:b w:val="0"/>
          <w:i w:val="0"/>
          <w:u w:val="none"/>
        </w:rPr>
        <w:t xml:space="preserve">: Esta transacción se realizará conforme a las condiciones estándar FOB Puerto de Shenzhen (FOB Shenzhen Port).</w:t>
      </w:r>
    </w:p>
    <w:p>
      <w:pPr>
        <w:pStyle w:val="ListBullet"/>
      </w:pPr>
      <w:r>
        <w:rPr>
          <w:rFonts w:ascii="Times New Roman" w:hAnsi="Times New Roman" w:eastAsia="Times New Roman"/>
          <w:b/>
          <w:i w:val="0"/>
          <w:u w:val="none"/>
        </w:rPr>
        <w:t xml:space="preserve">Plazo de preparación del pedido</w:t>
      </w:r>
      <w:r>
        <w:rPr>
          <w:rFonts w:ascii="Times New Roman" w:hAnsi="Times New Roman" w:eastAsia="Times New Roman"/>
          <w:b w:val="0"/>
          <w:i w:val="0"/>
          <w:u w:val="none"/>
        </w:rPr>
        <w:t xml:space="preserve">: Tras recibir su confirmación, la mercancía se entregará en la terminal de exportación designada en un plazo de </w:t>
      </w:r>
      <w:r>
        <w:rPr>
          <w:rFonts w:ascii="Times New Roman" w:hAnsi="Times New Roman" w:eastAsia="Times New Roman"/>
          <w:b/>
          <w:i w:val="0"/>
          <w:u w:val="none"/>
        </w:rPr>
        <w:t xml:space="preserve">10 días hábiles</w:t>
      </w:r>
      <w:r>
        <w:rPr>
          <w:rFonts w:ascii="Times New Roman" w:hAnsi="Times New Roman" w:eastAsia="Times New Roman"/>
          <w:b w:val="0"/>
          <w:i w:val="0"/>
          <w:u w:val="none"/>
        </w:rPr>
        <w:t xml:space="preserve">.</w:t>
      </w:r>
    </w:p>
    <w:p>
      <w:pPr>
        <w:pStyle w:val="ListBullet"/>
      </w:pPr>
      <w:r>
        <w:rPr>
          <w:rFonts w:ascii="Times New Roman" w:hAnsi="Times New Roman" w:eastAsia="Times New Roman"/>
          <w:b/>
          <w:i w:val="0"/>
          <w:u w:val="none"/>
        </w:rPr>
        <w:t xml:space="preserve">Inspección en fábrica</w:t>
      </w:r>
      <w:r>
        <w:rPr>
          <w:rFonts w:ascii="Times New Roman" w:hAnsi="Times New Roman" w:eastAsia="Times New Roman"/>
          <w:b w:val="0"/>
          <w:i w:val="0"/>
          <w:u w:val="none"/>
        </w:rPr>
        <w:t xml:space="preserve">: Antes del embalaje, le proporcionaremos un informe de inspección previo al envío con fotografías reales.</w:t>
      </w:r>
    </w:p>
    <w:p>
      <w:pPr>
        <w:pStyle w:val="Heading1"/>
      </w:pPr>
      <w:r>
        <w:rPr>
          <w:rFonts w:ascii="Times New Roman" w:hAnsi="Times New Roman" w:eastAsia="Times New Roman"/>
          <w:b w:val="0"/>
          <w:i w:val="0"/>
          <w:u w:val="none"/>
        </w:rPr>
        <w:t xml:space="preserve">III. Calendario de pagos y próximos pasos</w:t>
      </w:r>
    </w:p>
    <w:p>
      <w:r>
        <w:rPr>
          <w:rFonts w:ascii="Times New Roman" w:hAnsi="Times New Roman" w:eastAsia="Times New Roman"/>
          <w:b w:val="0"/>
          <w:i w:val="0"/>
          <w:u w:val="none"/>
        </w:rPr>
        <w:t xml:space="preserve">Para confirmar el pedido y reservar el programa de producción, realice los pagos conforme al siguiente calendario:</w:t>
      </w:r>
    </w:p>
    <w:p>
      <w:pPr>
        <w:pStyle w:val="ListNumber"/>
      </w:pPr>
      <w:r>
        <w:rPr>
          <w:rFonts w:ascii="Times New Roman" w:hAnsi="Times New Roman" w:eastAsia="Times New Roman"/>
          <w:b w:val="0"/>
          <w:i w:val="0"/>
          <w:u w:val="none"/>
        </w:rPr>
        <w:t xml:space="preserve">Antes de iniciar la producción y preparar el pedido, pague un depósito equivalente al 30 % del total del pedido (es decir, 2,565.00 dólares estadounidenses).</w:t>
      </w:r>
    </w:p>
    <w:p>
      <w:pPr>
        <w:pStyle w:val="ListNumber"/>
      </w:pPr>
      <w:r>
        <w:rPr>
          <w:rFonts w:ascii="Times New Roman" w:hAnsi="Times New Roman" w:eastAsia="Times New Roman"/>
          <w:b w:val="0"/>
          <w:i w:val="0"/>
          <w:u w:val="none"/>
        </w:rPr>
        <w:t xml:space="preserve">El 70 % restante del saldo (es decir, 5,985.00 dólares estadounidenses) deberá pagarse en su totalidad dentro de los </w:t>
      </w:r>
      <w:r>
        <w:rPr>
          <w:rFonts w:ascii="Times New Roman" w:hAnsi="Times New Roman" w:eastAsia="Times New Roman"/>
          <w:b/>
          <w:i w:val="0"/>
          <w:u w:val="none"/>
        </w:rPr>
        <w:t xml:space="preserve">5 días posteriores a la recepción de una copia del conocimiento de embarque (B/L)</w:t>
      </w:r>
      <w:r>
        <w:rPr>
          <w:rFonts w:ascii="Times New Roman" w:hAnsi="Times New Roman" w:eastAsia="Times New Roman"/>
          <w:b w:val="0"/>
          <w:i w:val="0"/>
          <w:u w:val="none"/>
        </w:rPr>
        <w:t xml:space="preserve">.</w:t>
      </w:r>
    </w:p>
    <w:p>
      <w:r>
        <w:rPr>
          <w:rFonts w:ascii="Times New Roman" w:hAnsi="Times New Roman" w:eastAsia="Times New Roman"/>
          <w:b w:val="0"/>
          <w:i w:val="0"/>
          <w:u w:val="none"/>
        </w:rPr>
        <w:t xml:space="preserve">Si todos los términos anteriores son correctos, responda «Confirmo mi aceptación» antes de las </w:t>
      </w:r>
      <w:r>
        <w:rPr>
          <w:rFonts w:ascii="Times New Roman" w:hAnsi="Times New Roman" w:eastAsia="Times New Roman"/>
          <w:b/>
          <w:i w:val="0"/>
          <w:u w:val="none"/>
        </w:rPr>
        <w:t xml:space="preserve">5:00 p. m. de este viernes</w:t>
      </w:r>
      <w:r>
        <w:rPr>
          <w:rFonts w:ascii="Times New Roman" w:hAnsi="Times New Roman" w:eastAsia="Times New Roman"/>
          <w:b w:val="0"/>
          <w:i w:val="0"/>
          <w:u w:val="none"/>
        </w:rPr>
        <w:t xml:space="preserve">. Una vez recibida su confirmación, nuestro equipo reservará inmediatamente el inventario e iniciará el proceso de embalaje y envío.</w:t>
      </w:r>
    </w:p>
    <w:p>
      <w:r>
        <w:rPr>
          <w:rFonts w:ascii="Times New Roman" w:hAnsi="Times New Roman" w:eastAsia="Times New Roman"/>
          <w:b w:val="0"/>
          <w:i w:val="0"/>
          <w:u w:val="none"/>
        </w:rPr>
        <w:t xml:space="preserve">Reciba un cordial saludo,</w:t>
      </w:r>
    </w:p>
    <w:p>
      <w:r>
        <w:rPr>
          <w:rFonts w:ascii="Times New Roman" w:hAnsi="Times New Roman" w:eastAsia="Times New Roman"/>
          <w:b w:val="0"/>
          <w:i w:val="0"/>
          <w:u w:val="none"/>
        </w:rPr>
        <w:t xml:space="preserve">Equipo de Equalang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Times New Roman" w:hAnsi="Times New Roman" w:eastAsia="Times New Roman"/>
        <w:sz w:val="16"/>
      </w:rPr>
      <w:t xml:space="preserve">Material de demostración ficticio - no es un comprobante de una transacción real</w:t>
    </w:r>
    <w:r>
      <w:rPr>
        <w:rFonts w:ascii="Times New Roman" w:hAnsi="Times New Roman" w:eastAsia="Times New Roman"/>
      </w:rP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Times New Roman" w:hAnsi="Times New Roman" w:eastAsia="Times New Roman"/>
        <w:sz w:val="16"/>
      </w:rPr>
      <w:t xml:space="preserve">Equipo de Equalang - Confirmación de suministro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80"/>
    </w:pPr>
    <w:rPr>
      <w:rFonts w:ascii="Arial Unicode MS" w:hAnsi="Arial Unicode MS" w:eastAsia="Arial Unicode M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 w:line="240" w:lineRule="auto"/>
      <w:outlineLvl w:val="0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 w:ascii="Arial Unicode MS" w:hAnsi="Arial Unicode MS" w:eastAsia="Arial Unicode MS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0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0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陶瓷产品供货与发货确认单</dc:title>
  <dc:subject/>
  <dc:creator>Equalang</dc:creator>
  <cp:keywords/>
  <dc:description>本文档由 Equalang AI 翻译（equalang.com）生成，内容仅供参考。
This document was translated by Equalang AI (equalang.com) and is for informational purposes only.</dc:description>
  <cp:lastModifiedBy>Equalang</cp:lastModifiedBy>
  <cp:revision>1</cp:revision>
  <dcterms:created xsi:type="dcterms:W3CDTF">2013-12-23T23:15:00Z</dcterms:created>
  <dcterms:modified xsi:type="dcterms:W3CDTF">2013-12-23T23:15:00Z</dcterms:modified>
  <cp:category/>
</cp:coreProperties>
</file>