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eastAsia="Times New Roman"/>
          <w:b w:val="0"/>
          <w:i w:val="0"/>
          <w:u w:val="none"/>
        </w:rPr>
        <w:t xml:space="preserve">Bestätigung der Lieferung und des Versands von Keramikprodukten</w:t>
      </w:r>
    </w:p>
    <w:p>
      <w:r>
        <w:rPr>
          <w:rFonts w:ascii="Times New Roman" w:hAnsi="Times New Roman" w:eastAsia="Times New Roman"/>
          <w:b w:val="0"/>
          <w:i w:val="0"/>
          <w:u w:val="none"/>
        </w:rPr>
        <w:t xml:space="preserve">Vielen Dank für Ihre kürzliche Anfrage. Dieses Dokument dient dazu, die konkreten Lieferdetails, den Lieferzeitplan und die Zahlungsbedingungen für Ihre bevorstehende Bestellung von Keramikprodukten zu bestätigen. Bitte prüfen Sie vor der abschließenden Auftragsbearbeitung, ob die Waren, Mengen und Angebote in der nachstehenden Tabelle korrekt sind.</w:t>
      </w:r>
    </w:p>
    <w:p>
      <w:pPr>
        <w:pStyle w:val="Heading1"/>
      </w:pPr>
      <w:r>
        <w:rPr>
          <w:rFonts w:ascii="Times New Roman" w:hAnsi="Times New Roman" w:eastAsia="Times New Roman"/>
          <w:b w:val="0"/>
          <w:i w:val="0"/>
          <w:u w:val="none"/>
        </w:rPr>
        <w:t xml:space="preserve">I. Produktspezifikationen und Angebotsdetails</w:t>
      </w:r>
    </w:p>
    <w:p>
      <w:r>
        <w:rPr>
          <w:rFonts w:ascii="Times New Roman" w:hAnsi="Times New Roman" w:eastAsia="Times New Roman"/>
          <w:b w:val="0"/>
          <w:i w:val="0"/>
          <w:u w:val="none"/>
        </w:rPr>
        <w:t xml:space="preserve">Die nachstehende Tabelle enthält die Details der Keramikwaren, die wir für Sie in dieser Charge reserviert haben. Alle Stückpreise sind in US-Dollar (USD) angegeben und beinhalten die Kosten für eine standardmäßige exportgerechte Schutzverpackung, die Transportschäden an zerbrechlichen Waren verhindert.</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37"/>
        <w:gridCol w:w="3528"/>
        <w:gridCol w:w="1267"/>
        <w:gridCol w:w="1512"/>
        <w:gridCol w:w="1584"/>
      </w:tblGrid>
      <w:tr>
        <w:tc>
          <w:tcPr>
            <w:tcW w:type="dxa" w:w="1037"/>
            <w:shd w:fill="DDEBF7"/>
          </w:tcPr>
          <w:p>
            <w:pPr>
              <w:spacing w:after="80" w:before="80"/>
            </w:pPr>
            <w:r>
              <w:rPr>
                <w:rFonts w:ascii="Times New Roman" w:hAnsi="Times New Roman" w:eastAsia="Times New Roman"/>
                <w:b/>
                <w:i w:val="0"/>
                <w:u w:val="none"/>
              </w:rPr>
              <w:t xml:space="preserve">Artikelnummer</w:t>
            </w:r>
          </w:p>
        </w:tc>
        <w:tc>
          <w:tcPr>
            <w:tcW w:type="dxa" w:w="3528"/>
            <w:shd w:fill="DDEBF7"/>
          </w:tcPr>
          <w:p>
            <w:pPr>
              <w:spacing w:after="80" w:before="80"/>
            </w:pPr>
            <w:r>
              <w:rPr>
                <w:rFonts w:ascii="Times New Roman" w:hAnsi="Times New Roman" w:eastAsia="Times New Roman"/>
                <w:b/>
                <w:i w:val="0"/>
                <w:u w:val="none"/>
              </w:rPr>
              <w:t xml:space="preserve">Artikelbezeichnung</w:t>
            </w:r>
          </w:p>
        </w:tc>
        <w:tc>
          <w:tcPr>
            <w:tcW w:type="dxa" w:w="1267"/>
            <w:shd w:fill="DDEBF7"/>
          </w:tcPr>
          <w:p>
            <w:pPr>
              <w:spacing w:after="80" w:before="80"/>
            </w:pPr>
            <w:r>
              <w:rPr>
                <w:rFonts w:ascii="Times New Roman" w:hAnsi="Times New Roman" w:eastAsia="Times New Roman"/>
                <w:b/>
                <w:i w:val="0"/>
                <w:u w:val="none"/>
              </w:rPr>
              <w:t xml:space="preserve">Menge</w:t>
            </w:r>
          </w:p>
        </w:tc>
        <w:tc>
          <w:tcPr>
            <w:tcW w:type="dxa" w:w="1512"/>
            <w:shd w:fill="DDEBF7"/>
          </w:tcPr>
          <w:p>
            <w:pPr>
              <w:spacing w:after="80" w:before="80"/>
            </w:pPr>
            <w:r>
              <w:rPr>
                <w:rFonts w:ascii="Times New Roman" w:hAnsi="Times New Roman" w:eastAsia="Times New Roman"/>
                <w:b/>
                <w:i w:val="0"/>
                <w:u w:val="none"/>
              </w:rPr>
              <w:t xml:space="preserve">Stückpreis (US-Dollar)</w:t>
            </w:r>
          </w:p>
        </w:tc>
        <w:tc>
          <w:tcPr>
            <w:tcW w:type="dxa" w:w="1584"/>
            <w:shd w:fill="DDEBF7"/>
          </w:tcPr>
          <w:p>
            <w:pPr>
              <w:spacing w:after="80" w:before="80"/>
            </w:pPr>
            <w:r>
              <w:rPr>
                <w:rFonts w:ascii="Times New Roman" w:hAnsi="Times New Roman" w:eastAsia="Times New Roman"/>
                <w:b/>
                <w:i w:val="0"/>
                <w:u w:val="none"/>
              </w:rPr>
              <w:t xml:space="preserve">Gesamtpreis (US-Dollar)</w:t>
            </w:r>
          </w:p>
        </w:tc>
      </w:tr>
      <w:tr>
        <w:tc>
          <w:tcPr>
            <w:tcW w:type="dxa" w:w="1037"/>
          </w:tcPr>
          <w:p>
            <w:pPr>
              <w:spacing w:after="80" w:before="80"/>
            </w:pPr>
            <w:r>
              <w:rPr>
                <w:rFonts w:ascii="Times New Roman" w:hAnsi="Times New Roman" w:eastAsia="Times New Roman"/>
                <w:b w:val="0"/>
                <w:i w:val="0"/>
                <w:u w:val="none"/>
              </w:rPr>
              <w:t xml:space="preserve">TC-101</w:t>
            </w:r>
          </w:p>
        </w:tc>
        <w:tc>
          <w:tcPr>
            <w:tcW w:type="dxa" w:w="3528"/>
          </w:tcPr>
          <w:p>
            <w:pPr>
              <w:spacing w:after="80" w:before="80"/>
            </w:pPr>
            <w:r>
              <w:rPr>
                <w:rFonts w:ascii="Times New Roman" w:hAnsi="Times New Roman" w:eastAsia="Times New Roman"/>
                <w:b w:val="0"/>
                <w:i w:val="0"/>
                <w:u w:val="none"/>
              </w:rPr>
              <w:t xml:space="preserve">Set glasierter Speiseteller</w:t>
            </w:r>
          </w:p>
        </w:tc>
        <w:tc>
          <w:tcPr>
            <w:tcW w:type="dxa" w:w="1267"/>
          </w:tcPr>
          <w:p>
            <w:pPr>
              <w:spacing w:after="80" w:before="80"/>
            </w:pPr>
            <w:r>
              <w:rPr>
                <w:rFonts w:ascii="Times New Roman" w:hAnsi="Times New Roman" w:eastAsia="Times New Roman"/>
                <w:b w:val="0"/>
                <w:i w:val="0"/>
                <w:u w:val="none"/>
              </w:rPr>
              <w:t xml:space="preserve">500</w:t>
            </w:r>
          </w:p>
        </w:tc>
        <w:tc>
          <w:tcPr>
            <w:tcW w:type="dxa" w:w="1512"/>
          </w:tcPr>
          <w:p>
            <w:pPr>
              <w:spacing w:after="80" w:before="80"/>
            </w:pPr>
            <w:r>
              <w:rPr>
                <w:rFonts w:ascii="Times New Roman" w:hAnsi="Times New Roman" w:eastAsia="Times New Roman"/>
                <w:b w:val="0"/>
                <w:i w:val="0"/>
                <w:u w:val="none"/>
              </w:rPr>
              <w:t xml:space="preserve">6.50</w:t>
            </w:r>
          </w:p>
        </w:tc>
        <w:tc>
          <w:tcPr>
            <w:tcW w:type="dxa" w:w="1584"/>
          </w:tcPr>
          <w:p>
            <w:pPr>
              <w:spacing w:after="80" w:before="80"/>
            </w:pPr>
            <w:r>
              <w:rPr>
                <w:rFonts w:ascii="Times New Roman" w:hAnsi="Times New Roman" w:eastAsia="Times New Roman"/>
                <w:b w:val="0"/>
                <w:i w:val="0"/>
                <w:u w:val="none"/>
              </w:rPr>
              <w:t xml:space="preserve">3,250.00</w:t>
            </w:r>
          </w:p>
        </w:tc>
      </w:tr>
      <w:tr>
        <w:tc>
          <w:tcPr>
            <w:tcW w:type="dxa" w:w="1037"/>
          </w:tcPr>
          <w:p>
            <w:pPr>
              <w:spacing w:after="80" w:before="80"/>
            </w:pPr>
            <w:r>
              <w:rPr>
                <w:rFonts w:ascii="Times New Roman" w:hAnsi="Times New Roman" w:eastAsia="Times New Roman"/>
                <w:b w:val="0"/>
                <w:i w:val="0"/>
                <w:u w:val="none"/>
              </w:rPr>
              <w:t xml:space="preserve">TC-102</w:t>
            </w:r>
          </w:p>
        </w:tc>
        <w:tc>
          <w:tcPr>
            <w:tcW w:type="dxa" w:w="3528"/>
          </w:tcPr>
          <w:p>
            <w:pPr>
              <w:spacing w:after="80" w:before="80"/>
            </w:pPr>
            <w:r>
              <w:rPr>
                <w:rFonts w:ascii="Times New Roman" w:hAnsi="Times New Roman" w:eastAsia="Times New Roman"/>
                <w:b w:val="0"/>
                <w:i w:val="0"/>
                <w:u w:val="none"/>
              </w:rPr>
              <w:t xml:space="preserve">Handgefertigtes Teeservice aus weißem Porzellan</w:t>
            </w:r>
          </w:p>
        </w:tc>
        <w:tc>
          <w:tcPr>
            <w:tcW w:type="dxa" w:w="1267"/>
          </w:tcPr>
          <w:p>
            <w:pPr>
              <w:spacing w:after="80" w:before="80"/>
            </w:pPr>
            <w:r>
              <w:rPr>
                <w:rFonts w:ascii="Times New Roman" w:hAnsi="Times New Roman" w:eastAsia="Times New Roman"/>
                <w:b w:val="0"/>
                <w:i w:val="0"/>
                <w:u w:val="none"/>
              </w:rPr>
              <w:t xml:space="preserve">200</w:t>
            </w:r>
          </w:p>
        </w:tc>
        <w:tc>
          <w:tcPr>
            <w:tcW w:type="dxa" w:w="1512"/>
          </w:tcPr>
          <w:p>
            <w:pPr>
              <w:spacing w:after="80" w:before="80"/>
            </w:pPr>
            <w:r>
              <w:rPr>
                <w:rFonts w:ascii="Times New Roman" w:hAnsi="Times New Roman" w:eastAsia="Times New Roman"/>
                <w:b w:val="0"/>
                <w:i w:val="0"/>
                <w:u w:val="none"/>
              </w:rPr>
              <w:t xml:space="preserve">17.50</w:t>
            </w:r>
          </w:p>
        </w:tc>
        <w:tc>
          <w:tcPr>
            <w:tcW w:type="dxa" w:w="1584"/>
          </w:tcPr>
          <w:p>
            <w:pPr>
              <w:spacing w:after="80" w:before="80"/>
            </w:pPr>
            <w:r>
              <w:rPr>
                <w:rFonts w:ascii="Times New Roman" w:hAnsi="Times New Roman" w:eastAsia="Times New Roman"/>
                <w:b w:val="0"/>
                <w:i w:val="0"/>
                <w:u w:val="none"/>
              </w:rPr>
              <w:t xml:space="preserve">3,500.00</w:t>
            </w:r>
          </w:p>
        </w:tc>
      </w:tr>
      <w:tr>
        <w:tc>
          <w:tcPr>
            <w:tcW w:type="dxa" w:w="1037"/>
          </w:tcPr>
          <w:p>
            <w:pPr>
              <w:spacing w:after="80" w:before="80"/>
            </w:pPr>
            <w:r>
              <w:rPr>
                <w:rFonts w:ascii="Times New Roman" w:hAnsi="Times New Roman" w:eastAsia="Times New Roman"/>
                <w:b w:val="0"/>
                <w:i w:val="0"/>
                <w:u w:val="none"/>
              </w:rPr>
              <w:t xml:space="preserve">TC-103</w:t>
            </w:r>
          </w:p>
        </w:tc>
        <w:tc>
          <w:tcPr>
            <w:tcW w:type="dxa" w:w="3528"/>
          </w:tcPr>
          <w:p>
            <w:pPr>
              <w:spacing w:after="80" w:before="80"/>
            </w:pPr>
            <w:r>
              <w:rPr>
                <w:rFonts w:ascii="Times New Roman" w:hAnsi="Times New Roman" w:eastAsia="Times New Roman"/>
                <w:b w:val="0"/>
                <w:i w:val="0"/>
                <w:u w:val="none"/>
              </w:rPr>
              <w:t xml:space="preserve">Schlichte Vase</w:t>
            </w:r>
          </w:p>
        </w:tc>
        <w:tc>
          <w:tcPr>
            <w:tcW w:type="dxa" w:w="1267"/>
          </w:tcPr>
          <w:p>
            <w:pPr>
              <w:spacing w:after="80" w:before="80"/>
            </w:pPr>
            <w:r>
              <w:rPr>
                <w:rFonts w:ascii="Times New Roman" w:hAnsi="Times New Roman" w:eastAsia="Times New Roman"/>
                <w:b w:val="0"/>
                <w:i w:val="0"/>
                <w:u w:val="none"/>
              </w:rPr>
              <w:t xml:space="preserve">150</w:t>
            </w:r>
          </w:p>
        </w:tc>
        <w:tc>
          <w:tcPr>
            <w:tcW w:type="dxa" w:w="1512"/>
          </w:tcPr>
          <w:p>
            <w:pPr>
              <w:spacing w:after="80" w:before="80"/>
            </w:pPr>
            <w:r>
              <w:rPr>
                <w:rFonts w:ascii="Times New Roman" w:hAnsi="Times New Roman" w:eastAsia="Times New Roman"/>
                <w:b w:val="0"/>
                <w:i w:val="0"/>
                <w:u w:val="none"/>
              </w:rPr>
              <w:t xml:space="preserve">12.00</w:t>
            </w:r>
          </w:p>
        </w:tc>
        <w:tc>
          <w:tcPr>
            <w:tcW w:type="dxa" w:w="1584"/>
          </w:tcPr>
          <w:p>
            <w:pPr>
              <w:spacing w:after="80" w:before="80"/>
            </w:pPr>
            <w:r>
              <w:rPr>
                <w:rFonts w:ascii="Times New Roman" w:hAnsi="Times New Roman" w:eastAsia="Times New Roman"/>
                <w:b w:val="0"/>
                <w:i w:val="0"/>
                <w:u w:val="none"/>
              </w:rPr>
              <w:t xml:space="preserve">1,800.00</w:t>
            </w:r>
          </w:p>
        </w:tc>
      </w:tr>
    </w:tbl>
    <w:p>
      <w:r>
        <w:rPr>
          <w:rFonts w:ascii="Times New Roman" w:hAnsi="Times New Roman" w:eastAsia="Times New Roman"/>
          <w:b w:val="0"/>
          <w:i/>
          <w:u w:val="none"/>
        </w:rPr>
        <w:t xml:space="preserve">Hinweis: Der Gesamtwert dieser Bestellung beträgt 8.550,00 US-Dollar. Für den Druck eines individuellen Markenlogos oder das Anbringen spezieller Einzelhandelsetiketten berechnen wir bei Bedarf eine geringe Zusatzgebühr.</w:t>
      </w:r>
    </w:p>
    <w:p>
      <w:pPr>
        <w:pStyle w:val="Heading1"/>
      </w:pPr>
      <w:r>
        <w:rPr>
          <w:rFonts w:ascii="Times New Roman" w:hAnsi="Times New Roman" w:eastAsia="Times New Roman"/>
          <w:b w:val="0"/>
          <w:i w:val="0"/>
          <w:u w:val="none"/>
        </w:rPr>
        <w:t xml:space="preserve">II. Verpackungsstandards und Lieferzeitplan</w:t>
      </w:r>
    </w:p>
    <w:p>
      <w:r>
        <w:rPr>
          <w:rFonts w:ascii="Times New Roman" w:hAnsi="Times New Roman" w:eastAsia="Times New Roman"/>
          <w:b w:val="0"/>
          <w:i w:val="0"/>
          <w:u w:val="none"/>
        </w:rPr>
        <w:t xml:space="preserve">Um die sichere Zustellung der zerbrechlichen Waren zu gewährleisten, haben wir folgende Logistik- und Verpackungsstandards festgelegt:</w:t>
      </w:r>
    </w:p>
    <w:p>
      <w:pPr>
        <w:pStyle w:val="ListBullet"/>
      </w:pPr>
      <w:r>
        <w:rPr>
          <w:rFonts w:ascii="Times New Roman" w:hAnsi="Times New Roman" w:eastAsia="Times New Roman"/>
          <w:b/>
          <w:i w:val="0"/>
          <w:u w:val="none"/>
        </w:rPr>
        <w:t xml:space="preserve">Schutzverpackung</w:t>
      </w:r>
      <w:r>
        <w:rPr>
          <w:rFonts w:ascii="Times New Roman" w:hAnsi="Times New Roman" w:eastAsia="Times New Roman"/>
          <w:b w:val="0"/>
          <w:i w:val="0"/>
          <w:u w:val="none"/>
        </w:rPr>
        <w:t xml:space="preserve">: Jedes Produkt wird einzeln in einen </w:t>
      </w:r>
      <w:r>
        <w:rPr>
          <w:rFonts w:ascii="Times New Roman" w:hAnsi="Times New Roman" w:eastAsia="Times New Roman"/>
          <w:b w:val="0"/>
          <w:i w:val="0"/>
          <w:color w:val="005C4D"/>
          <w:u w:val="single"/>
        </w:rPr>
        <w:t xml:space="preserve">verstärkten fünflagigen Wellpappkarton</w:t>
      </w:r>
      <w:r>
        <w:rPr>
          <w:rFonts w:ascii="Times New Roman" w:hAnsi="Times New Roman" w:eastAsia="Times New Roman"/>
          <w:b w:val="0"/>
          <w:i w:val="0"/>
          <w:u w:val="none"/>
        </w:rPr>
        <w:t xml:space="preserve"> verpackt und mit maßgefertigtem stoßdämpfendem Schaumstoff versehen.</w:t>
      </w:r>
    </w:p>
    <w:p>
      <w:pPr>
        <w:pStyle w:val="ListBullet"/>
      </w:pPr>
      <w:r>
        <w:rPr>
          <w:rFonts w:ascii="Times New Roman" w:hAnsi="Times New Roman" w:eastAsia="Times New Roman"/>
          <w:b/>
          <w:i w:val="0"/>
          <w:u w:val="none"/>
        </w:rPr>
        <w:t xml:space="preserve">Seefrachtbedingungen</w:t>
      </w:r>
      <w:r>
        <w:rPr>
          <w:rFonts w:ascii="Times New Roman" w:hAnsi="Times New Roman" w:eastAsia="Times New Roman"/>
          <w:b w:val="0"/>
          <w:i w:val="0"/>
          <w:u w:val="none"/>
        </w:rPr>
        <w:t xml:space="preserve">: Diese Transaktion erfolgt zu den standardmäßigen FOB-Bedingungen Hafen von Shenzhen (FOB Shenzhen Port).</w:t>
      </w:r>
    </w:p>
    <w:p>
      <w:pPr>
        <w:pStyle w:val="ListBullet"/>
      </w:pPr>
      <w:r>
        <w:rPr>
          <w:rFonts w:ascii="Times New Roman" w:hAnsi="Times New Roman" w:eastAsia="Times New Roman"/>
          <w:b/>
          <w:i w:val="0"/>
          <w:u w:val="none"/>
        </w:rPr>
        <w:t xml:space="preserve">Lieferzeit für die Bereitstellung der Ware</w:t>
      </w:r>
      <w:r>
        <w:rPr>
          <w:rFonts w:ascii="Times New Roman" w:hAnsi="Times New Roman" w:eastAsia="Times New Roman"/>
          <w:b w:val="0"/>
          <w:i w:val="0"/>
          <w:u w:val="none"/>
        </w:rPr>
        <w:t xml:space="preserve">: Nach Erhalt Ihrer Bestätigung wird die Ware innerhalb von </w:t>
      </w:r>
      <w:r>
        <w:rPr>
          <w:rFonts w:ascii="Times New Roman" w:hAnsi="Times New Roman" w:eastAsia="Times New Roman"/>
          <w:b/>
          <w:i w:val="0"/>
          <w:u w:val="none"/>
        </w:rPr>
        <w:t xml:space="preserve">10 Werktagen</w:t>
      </w:r>
      <w:r>
        <w:rPr>
          <w:rFonts w:ascii="Times New Roman" w:hAnsi="Times New Roman" w:eastAsia="Times New Roman"/>
          <w:b w:val="0"/>
          <w:i w:val="0"/>
          <w:u w:val="none"/>
        </w:rPr>
        <w:t xml:space="preserve"> zum angegebenen Ausfuhrhafen geliefert.</w:t>
      </w:r>
    </w:p>
    <w:p>
      <w:pPr>
        <w:pStyle w:val="ListBullet"/>
      </w:pPr>
      <w:r>
        <w:rPr>
          <w:rFonts w:ascii="Times New Roman" w:hAnsi="Times New Roman" w:eastAsia="Times New Roman"/>
          <w:b/>
          <w:i w:val="0"/>
          <w:u w:val="none"/>
        </w:rPr>
        <w:t xml:space="preserve">Werksinspektion</w:t>
      </w:r>
      <w:r>
        <w:rPr>
          <w:rFonts w:ascii="Times New Roman" w:hAnsi="Times New Roman" w:eastAsia="Times New Roman"/>
          <w:b w:val="0"/>
          <w:i w:val="0"/>
          <w:u w:val="none"/>
        </w:rPr>
        <w:t xml:space="preserve">: Vor dem Verpacken stellen wir einen Inspektionsbericht vor dem Versand mit Originalfotos bereit.</w:t>
      </w:r>
    </w:p>
    <w:p>
      <w:pPr>
        <w:pStyle w:val="Heading1"/>
      </w:pPr>
      <w:r>
        <w:rPr>
          <w:rFonts w:ascii="Times New Roman" w:hAnsi="Times New Roman" w:eastAsia="Times New Roman"/>
          <w:b w:val="0"/>
          <w:i w:val="0"/>
          <w:u w:val="none"/>
        </w:rPr>
        <w:t xml:space="preserve">III. Zahlungsplan und weitere Schritte</w:t>
      </w:r>
    </w:p>
    <w:p>
      <w:r>
        <w:rPr>
          <w:rFonts w:ascii="Times New Roman" w:hAnsi="Times New Roman" w:eastAsia="Times New Roman"/>
          <w:b w:val="0"/>
          <w:i w:val="0"/>
          <w:u w:val="none"/>
        </w:rPr>
        <w:t xml:space="preserve">Um die Bestellung zu bestätigen und den Produktionszeitplan zu sichern, leisten Sie die Zahlungen bitte nach folgendem Zeitplan:</w:t>
      </w:r>
    </w:p>
    <w:p>
      <w:pPr>
        <w:pStyle w:val="ListNumber"/>
      </w:pPr>
      <w:r>
        <w:rPr>
          <w:rFonts w:ascii="Times New Roman" w:hAnsi="Times New Roman" w:eastAsia="Times New Roman"/>
          <w:b w:val="0"/>
          <w:i w:val="0"/>
          <w:u w:val="none"/>
        </w:rPr>
        <w:t xml:space="preserve">Bitte zahlen Sie vor Beginn der Produktion und Bereitstellung der Ware eine Anzahlung in Höhe von 30 % des Gesamtbestellwerts (also 2.565,00 US-Dollar).</w:t>
      </w:r>
    </w:p>
    <w:p>
      <w:pPr>
        <w:pStyle w:val="ListNumber"/>
      </w:pPr>
      <w:r>
        <w:rPr>
          <w:rFonts w:ascii="Times New Roman" w:hAnsi="Times New Roman" w:eastAsia="Times New Roman"/>
          <w:b w:val="0"/>
          <w:i w:val="0"/>
          <w:u w:val="none"/>
        </w:rPr>
        <w:t xml:space="preserve">Die restlichen 70 % (also 5.985,00 US-Dollar) sind innerhalb von </w:t>
      </w:r>
      <w:r>
        <w:rPr>
          <w:rFonts w:ascii="Times New Roman" w:hAnsi="Times New Roman" w:eastAsia="Times New Roman"/>
          <w:b/>
          <w:i w:val="0"/>
          <w:u w:val="none"/>
        </w:rPr>
        <w:t xml:space="preserve">5 Tagen nach Erhalt einer Kopie des Konnossements (B/L)</w:t>
      </w:r>
      <w:r>
        <w:rPr>
          <w:rFonts w:ascii="Times New Roman" w:hAnsi="Times New Roman" w:eastAsia="Times New Roman"/>
          <w:b w:val="0"/>
          <w:i w:val="0"/>
          <w:u w:val="none"/>
        </w:rPr>
        <w:t xml:space="preserve"> zu begleichen.</w:t>
      </w:r>
    </w:p>
    <w:p>
      <w:r>
        <w:rPr>
          <w:rFonts w:ascii="Times New Roman" w:hAnsi="Times New Roman" w:eastAsia="Times New Roman"/>
          <w:b w:val="0"/>
          <w:i w:val="0"/>
          <w:u w:val="none"/>
        </w:rPr>
        <w:t xml:space="preserve">Wenn alle oben genannten Angaben korrekt sind, antworten Sie bitte bis </w:t>
      </w:r>
      <w:r>
        <w:rPr>
          <w:rFonts w:ascii="Times New Roman" w:hAnsi="Times New Roman" w:eastAsia="Times New Roman"/>
          <w:b/>
          <w:i w:val="0"/>
          <w:u w:val="none"/>
        </w:rPr>
        <w:t xml:space="preserve">diesen Freitag um 17:00 Uhr</w:t>
      </w:r>
      <w:r>
        <w:rPr>
          <w:rFonts w:ascii="Times New Roman" w:hAnsi="Times New Roman" w:eastAsia="Times New Roman"/>
          <w:b w:val="0"/>
          <w:i w:val="0"/>
          <w:u w:val="none"/>
        </w:rPr>
        <w:t xml:space="preserve"> mit „Bestätigung der Annahme“. Nach Erhalt Ihrer Bestätigung wird unser Team den Lagerbestand umgehend reservieren und den Verpackungs- und Versandprozess einleiten.</w:t>
      </w:r>
    </w:p>
    <w:p>
      <w:r>
        <w:rPr>
          <w:rFonts w:ascii="Times New Roman" w:hAnsi="Times New Roman" w:eastAsia="Times New Roman"/>
          <w:b w:val="0"/>
          <w:i w:val="0"/>
          <w:u w:val="none"/>
        </w:rPr>
        <w:t xml:space="preserve">Mit freundlichen Grüßen</w:t>
      </w:r>
    </w:p>
    <w:p>
      <w:r>
        <w:rPr>
          <w:rFonts w:ascii="Times New Roman" w:hAnsi="Times New Roman" w:eastAsia="Times New Roman"/>
          <w:b w:val="0"/>
          <w:i w:val="0"/>
          <w:u w:val="none"/>
        </w:rPr>
        <w:t xml:space="preserve">Ihr Equalang-Team</w:t>
      </w:r>
    </w:p>
    <w:sectPr w:rsidR="00FC693F" w:rsidRPr="0006063C" w:rsidSect="00034616">
      <w:headerReference w:type="default" r:id="rId9"/>
      <w:footerReference w:type="default" r:id="rId10"/>
      <w:pgSz w:w="11909" w:h="16834"/>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Times New Roman" w:hAnsi="Times New Roman" w:eastAsia="Times New Roman"/>
        <w:sz w:val="16"/>
      </w:rPr>
      <w:t xml:space="preserve">Fiktives Demomaterial – kein echter Transaktionsbeleg</w:t>
    </w:r>
    <w:r>
      <w:rPr>
        <w:rFonts w:ascii="Times New Roman" w:hAnsi="Times New Roman" w:eastAsia="Times New Roman"/>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Times New Roman" w:hAnsi="Times New Roman" w:eastAsia="Times New Roman"/>
        <w:sz w:val="16"/>
      </w:rPr>
      <w:t xml:space="preserve">Equalang-Team – Lieferbestätigung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80"/>
    </w:pPr>
    <w:rPr>
      <w:rFonts w:ascii="Arial Unicode MS" w:hAnsi="Arial Unicode MS" w:eastAsia="Arial Unicode M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line="240" w:lineRule="auto"/>
      <w:outlineLvl w:val="0"/>
    </w:pPr>
    <w:rPr>
      <w:rFonts w:asciiTheme="majorHAnsi" w:eastAsiaTheme="majorEastAsia" w:hAnsiTheme="majorHAnsi" w:cstheme="majorBidi" w:ascii="Arial Unicode MS" w:hAnsi="Arial Unicode MS" w:eastAsia="Arial Unicode MS"/>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rial Unicode MS" w:hAnsi="Arial Unicode MS" w:eastAsia="Arial Unicode MS"/>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40"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陶瓷产品供货与发货确认单</dc:title>
  <dc:subject/>
  <dc:creator>Equalang</dc:creator>
  <cp:keywords/>
  <dc:description>本文档由 Equalang AI 翻译（equalang.com）生成，内容仅供参考。
This document was translated by Equalang AI (equalang.com) and is for informational purposes only.</dc:description>
  <cp:lastModifiedBy>Equalang</cp:lastModifiedBy>
  <cp:revision>1</cp:revision>
  <dcterms:created xsi:type="dcterms:W3CDTF">2013-12-23T23:15:00Z</dcterms:created>
  <dcterms:modified xsi:type="dcterms:W3CDTF">2013-12-23T23:15:00Z</dcterms:modified>
  <cp:category/>
</cp:coreProperties>
</file>