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Fonts w:ascii="NotoSerifArabic" w:hAnsi="NotoSerifArabic" w:eastAsia="NotoSerifArabic" w:cs="NotoSerifArabic"/>
          <w:b w:val="0"/>
          <w:bCs w:val="0"/>
          <w:i w:val="0"/>
          <w:iCs w:val="0"/>
          <w:szCs w:val="40"/>
          <w:u w:val="none"/>
          <w:rtl/>
        </w:rPr>
        <w:t xml:space="preserve">تأكيد توريد وشحن المنتجات الخزفية</w:t>
      </w:r>
    </w:p>
    <w:p>
      <w:pPr>
        <w:bidi w:val="1"/>
        <w:jc w:val="start"/>
      </w:pPr>
      <w:r>
        <w:rPr>
          <w:rFonts w:ascii="NotoSerifArabic" w:hAnsi="NotoSerifArabic" w:eastAsia="NotoSerifArabic" w:cs="NotoSerifArabic"/>
          <w:b w:val="0"/>
          <w:bCs w:val="0"/>
          <w:i w:val="0"/>
          <w:iCs w:val="0"/>
          <w:szCs w:val="21"/>
          <w:u w:val="none"/>
          <w:rtl/>
        </w:rPr>
        <w:t xml:space="preserve">شكرًا لكم على استفساركم الأخير. تهدف هذه الوثيقة إلى تأكيد تفاصيل التوريد وجدول التسليم وشروط الدفع الخاصة بطلب المنتجات الخزفية الذي تعتزمون شراءه. يُرجى التحقق من دقة المنتجات والكميات والأسعار الواردة في الجدول أدناه قبل بدء معالجة الطلب النهائي.</w:t>
      </w:r>
    </w:p>
    <w:p>
      <w:pPr>
        <w:pStyle w:val="Heading1"/>
        <w:bidi w:val="1"/>
        <w:jc w:val="start"/>
      </w:pPr>
      <w:r>
        <w:rPr>
          <w:rFonts w:ascii="NotoSerifArabic" w:hAnsi="NotoSerifArabic" w:eastAsia="NotoSerifArabic" w:cs="NotoSerifArabic"/>
          <w:b w:val="0"/>
          <w:bCs w:val="0"/>
          <w:i w:val="0"/>
          <w:iCs w:val="0"/>
          <w:szCs w:val="24"/>
          <w:u w:val="none"/>
          <w:rtl/>
        </w:rPr>
        <w:t xml:space="preserve">أولًا: مواصفات المنتجات وتفاصيل الأسعار</w:t>
      </w:r>
    </w:p>
    <w:p>
      <w:pPr>
        <w:bidi w:val="1"/>
        <w:jc w:val="start"/>
      </w:pPr>
      <w:r>
        <w:rPr>
          <w:rFonts w:ascii="NotoSerifArabic" w:hAnsi="NotoSerifArabic" w:eastAsia="NotoSerifArabic" w:cs="NotoSerifArabic"/>
          <w:b w:val="0"/>
          <w:bCs w:val="0"/>
          <w:i w:val="0"/>
          <w:iCs w:val="0"/>
          <w:szCs w:val="21"/>
          <w:u w:val="none"/>
          <w:rtl/>
        </w:rPr>
        <w:t xml:space="preserve">يوضح الجدول أدناه تفاصيل المنتجات الخزفية المحجوزة لكم ضمن هذه الدفعة. جميع أسعار الوحدات بالدولار الأمريكي </w:t>
      </w:r>
      <w:r>
        <w:rPr>
          <w:rFonts w:ascii="NotoSerifArabic" w:hAnsi="NotoSerifArabic" w:eastAsia="NotoSerifArabic" w:cs="NotoSerifArabic"/>
          <w:b w:val="0"/>
          <w:i w:val="0"/>
          <w:u w:val="none"/>
          <w:rtl w:val="0"/>
        </w:rPr>
        <w:t xml:space="preserve">(USD)</w:t>
      </w:r>
      <w:r>
        <w:rPr>
          <w:rFonts w:ascii="NotoSerifArabic" w:hAnsi="NotoSerifArabic" w:eastAsia="NotoSerifArabic" w:cs="NotoSerifArabic"/>
          <w:b w:val="0"/>
          <w:bCs w:val="0"/>
          <w:i w:val="0"/>
          <w:iCs w:val="0"/>
          <w:szCs w:val="21"/>
          <w:u w:val="none"/>
          <w:rtl/>
        </w:rPr>
        <w:t xml:space="preserve">، وتشمل تكلفة التغليف الوقائي القياسي بمستوى التصدير، لحماية المنتجات القابلة للكسر من التلف أثناء النقل.</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037"/>
        <w:gridCol w:w="3528"/>
        <w:gridCol w:w="1267"/>
        <w:gridCol w:w="1512"/>
        <w:gridCol w:w="1584"/>
      </w:tblGrid>
      <w:tr>
        <w:tc>
          <w:tcPr>
            <w:tcW w:type="dxa" w:w="1037"/>
            <w:shd w:fill="DDEBF7"/>
          </w:tcPr>
          <w:p>
            <w:pPr>
              <w:bidi w:val="1"/>
              <w:spacing w:after="80" w:before="80"/>
              <w:jc w:val="start"/>
            </w:pPr>
            <w:r>
              <w:rPr>
                <w:rFonts w:ascii="NotoSerifArabic" w:hAnsi="NotoSerifArabic" w:eastAsia="NotoSerifArabic" w:cs="NotoSerifArabic"/>
                <w:b/>
                <w:bCs/>
                <w:i w:val="0"/>
                <w:iCs w:val="0"/>
                <w:szCs w:val="21"/>
                <w:u w:val="none"/>
                <w:rtl/>
              </w:rPr>
              <w:t xml:space="preserve">رقم الصنف</w:t>
            </w:r>
          </w:p>
        </w:tc>
        <w:tc>
          <w:tcPr>
            <w:tcW w:type="dxa" w:w="3528"/>
            <w:shd w:fill="DDEBF7"/>
          </w:tcPr>
          <w:p>
            <w:pPr>
              <w:bidi w:val="1"/>
              <w:spacing w:after="80" w:before="80"/>
              <w:jc w:val="start"/>
            </w:pPr>
            <w:r>
              <w:rPr>
                <w:rFonts w:ascii="NotoSerifArabic" w:hAnsi="NotoSerifArabic" w:eastAsia="NotoSerifArabic" w:cs="NotoSerifArabic"/>
                <w:b/>
                <w:bCs/>
                <w:i w:val="0"/>
                <w:iCs w:val="0"/>
                <w:szCs w:val="21"/>
                <w:u w:val="none"/>
                <w:rtl/>
              </w:rPr>
              <w:t xml:space="preserve">اسم المنتج</w:t>
            </w:r>
          </w:p>
        </w:tc>
        <w:tc>
          <w:tcPr>
            <w:tcW w:type="dxa" w:w="1267"/>
            <w:shd w:fill="DDEBF7"/>
          </w:tcPr>
          <w:p>
            <w:pPr>
              <w:bidi w:val="1"/>
              <w:spacing w:after="80" w:before="80"/>
              <w:jc w:val="start"/>
            </w:pPr>
            <w:r>
              <w:rPr>
                <w:rFonts w:ascii="NotoSerifArabic" w:hAnsi="NotoSerifArabic" w:eastAsia="NotoSerifArabic" w:cs="NotoSerifArabic"/>
                <w:b/>
                <w:bCs/>
                <w:i w:val="0"/>
                <w:iCs w:val="0"/>
                <w:szCs w:val="21"/>
                <w:u w:val="none"/>
                <w:rtl/>
              </w:rPr>
              <w:t xml:space="preserve">الكمية</w:t>
            </w:r>
          </w:p>
        </w:tc>
        <w:tc>
          <w:tcPr>
            <w:tcW w:type="dxa" w:w="1512"/>
            <w:shd w:fill="DDEBF7"/>
          </w:tcPr>
          <w:p>
            <w:pPr>
              <w:bidi w:val="1"/>
              <w:spacing w:after="80" w:before="80"/>
              <w:jc w:val="start"/>
            </w:pPr>
            <w:r>
              <w:rPr>
                <w:rFonts w:ascii="NotoSerifArabic" w:hAnsi="NotoSerifArabic" w:eastAsia="NotoSerifArabic" w:cs="NotoSerifArabic"/>
                <w:b/>
                <w:bCs/>
                <w:i w:val="0"/>
                <w:iCs w:val="0"/>
                <w:szCs w:val="21"/>
                <w:u w:val="none"/>
                <w:rtl/>
              </w:rPr>
              <w:t xml:space="preserve">سعر الوحدة (دولار أمريكي)</w:t>
            </w:r>
          </w:p>
        </w:tc>
        <w:tc>
          <w:tcPr>
            <w:tcW w:type="dxa" w:w="1584"/>
            <w:shd w:fill="DDEBF7"/>
          </w:tcPr>
          <w:p>
            <w:pPr>
              <w:bidi w:val="1"/>
              <w:spacing w:after="80" w:before="80"/>
              <w:jc w:val="start"/>
            </w:pPr>
            <w:r>
              <w:rPr>
                <w:rFonts w:ascii="NotoSerifArabic" w:hAnsi="NotoSerifArabic" w:eastAsia="NotoSerifArabic" w:cs="NotoSerifArabic"/>
                <w:b/>
                <w:bCs/>
                <w:i w:val="0"/>
                <w:iCs w:val="0"/>
                <w:szCs w:val="21"/>
                <w:u w:val="none"/>
                <w:rtl/>
              </w:rPr>
              <w:t xml:space="preserve">السعر الإجمالي (دولار أمريكي)</w:t>
            </w:r>
          </w:p>
        </w:tc>
      </w:tr>
      <w:tr>
        <w:tc>
          <w:tcPr>
            <w:tcW w:type="dxa" w:w="1037"/>
          </w:tcPr>
          <w:p>
            <w:pPr>
              <w:spacing w:after="80" w:before="80"/>
            </w:pPr>
            <w:r>
              <w:rPr>
                <w:rFonts w:ascii="NotoSerifArabic" w:hAnsi="NotoSerifArabic" w:eastAsia="NotoSerifArabic" w:cs="NotoSerifArabic"/>
                <w:b w:val="0"/>
                <w:i w:val="0"/>
                <w:u w:val="none"/>
              </w:rPr>
              <w:t>TC-101</w:t>
            </w:r>
          </w:p>
        </w:tc>
        <w:tc>
          <w:tcPr>
            <w:tcW w:type="dxa" w:w="3528"/>
          </w:tcPr>
          <w:p>
            <w:pPr>
              <w:bidi w:val="1"/>
              <w:spacing w:after="80" w:before="80"/>
              <w:jc w:val="start"/>
            </w:pPr>
            <w:r>
              <w:rPr>
                <w:rFonts w:ascii="NotoSerifArabic" w:hAnsi="NotoSerifArabic" w:eastAsia="NotoSerifArabic" w:cs="NotoSerifArabic"/>
                <w:b w:val="0"/>
                <w:bCs w:val="0"/>
                <w:i w:val="0"/>
                <w:iCs w:val="0"/>
                <w:szCs w:val="21"/>
                <w:u w:val="none"/>
                <w:rtl/>
              </w:rPr>
              <w:t xml:space="preserve">طقم أطباق مائدة مزججة</w:t>
            </w:r>
          </w:p>
        </w:tc>
        <w:tc>
          <w:tcPr>
            <w:tcW w:type="dxa" w:w="1267"/>
          </w:tcPr>
          <w:p>
            <w:pPr>
              <w:spacing w:after="80" w:before="80"/>
            </w:pPr>
            <w:r>
              <w:rPr>
                <w:rFonts w:ascii="NotoSerifArabic" w:hAnsi="NotoSerifArabic" w:eastAsia="NotoSerifArabic" w:cs="NotoSerifArabic"/>
                <w:b w:val="0"/>
                <w:i w:val="0"/>
                <w:u w:val="none"/>
              </w:rPr>
              <w:t>500</w:t>
            </w:r>
          </w:p>
        </w:tc>
        <w:tc>
          <w:tcPr>
            <w:tcW w:type="dxa" w:w="1512"/>
          </w:tcPr>
          <w:p>
            <w:pPr>
              <w:spacing w:after="80" w:before="80"/>
            </w:pPr>
            <w:r>
              <w:rPr>
                <w:rFonts w:ascii="NotoSerifArabic" w:hAnsi="NotoSerifArabic" w:eastAsia="NotoSerifArabic" w:cs="NotoSerifArabic"/>
                <w:b w:val="0"/>
                <w:i w:val="0"/>
                <w:u w:val="none"/>
              </w:rPr>
              <w:t>6.50</w:t>
            </w:r>
          </w:p>
        </w:tc>
        <w:tc>
          <w:tcPr>
            <w:tcW w:type="dxa" w:w="1584"/>
          </w:tcPr>
          <w:p>
            <w:pPr>
              <w:spacing w:after="80" w:before="80"/>
            </w:pPr>
            <w:r>
              <w:rPr>
                <w:rFonts w:ascii="NotoSerifArabic" w:hAnsi="NotoSerifArabic" w:eastAsia="NotoSerifArabic" w:cs="NotoSerifArabic"/>
                <w:b w:val="0"/>
                <w:i w:val="0"/>
                <w:u w:val="none"/>
              </w:rPr>
              <w:t>3,250.00</w:t>
            </w:r>
          </w:p>
        </w:tc>
      </w:tr>
      <w:tr>
        <w:tc>
          <w:tcPr>
            <w:tcW w:type="dxa" w:w="1037"/>
          </w:tcPr>
          <w:p>
            <w:pPr>
              <w:spacing w:after="80" w:before="80"/>
            </w:pPr>
            <w:r>
              <w:rPr>
                <w:rFonts w:ascii="NotoSerifArabic" w:hAnsi="NotoSerifArabic" w:eastAsia="NotoSerifArabic" w:cs="NotoSerifArabic"/>
                <w:b w:val="0"/>
                <w:i w:val="0"/>
                <w:u w:val="none"/>
              </w:rPr>
              <w:t>TC-102</w:t>
            </w:r>
          </w:p>
        </w:tc>
        <w:tc>
          <w:tcPr>
            <w:tcW w:type="dxa" w:w="3528"/>
          </w:tcPr>
          <w:p>
            <w:pPr>
              <w:bidi w:val="1"/>
              <w:spacing w:after="80" w:before="80"/>
              <w:jc w:val="start"/>
            </w:pPr>
            <w:r>
              <w:rPr>
                <w:rFonts w:ascii="NotoSerifArabic" w:hAnsi="NotoSerifArabic" w:eastAsia="NotoSerifArabic" w:cs="NotoSerifArabic"/>
                <w:b w:val="0"/>
                <w:bCs w:val="0"/>
                <w:i w:val="0"/>
                <w:iCs w:val="0"/>
                <w:szCs w:val="21"/>
                <w:u w:val="none"/>
                <w:rtl/>
              </w:rPr>
              <w:t xml:space="preserve">طقم شاي من الخزف الأبيض مصنوع يدويًا</w:t>
            </w:r>
          </w:p>
        </w:tc>
        <w:tc>
          <w:tcPr>
            <w:tcW w:type="dxa" w:w="1267"/>
          </w:tcPr>
          <w:p>
            <w:pPr>
              <w:spacing w:after="80" w:before="80"/>
            </w:pPr>
            <w:r>
              <w:rPr>
                <w:rFonts w:ascii="NotoSerifArabic" w:hAnsi="NotoSerifArabic" w:eastAsia="NotoSerifArabic" w:cs="NotoSerifArabic"/>
                <w:b w:val="0"/>
                <w:i w:val="0"/>
                <w:u w:val="none"/>
              </w:rPr>
              <w:t>200</w:t>
            </w:r>
          </w:p>
        </w:tc>
        <w:tc>
          <w:tcPr>
            <w:tcW w:type="dxa" w:w="1512"/>
          </w:tcPr>
          <w:p>
            <w:pPr>
              <w:spacing w:after="80" w:before="80"/>
            </w:pPr>
            <w:r>
              <w:rPr>
                <w:rFonts w:ascii="NotoSerifArabic" w:hAnsi="NotoSerifArabic" w:eastAsia="NotoSerifArabic" w:cs="NotoSerifArabic"/>
                <w:b w:val="0"/>
                <w:i w:val="0"/>
                <w:u w:val="none"/>
              </w:rPr>
              <w:t>17.50</w:t>
            </w:r>
          </w:p>
        </w:tc>
        <w:tc>
          <w:tcPr>
            <w:tcW w:type="dxa" w:w="1584"/>
          </w:tcPr>
          <w:p>
            <w:pPr>
              <w:spacing w:after="80" w:before="80"/>
            </w:pPr>
            <w:r>
              <w:rPr>
                <w:rFonts w:ascii="NotoSerifArabic" w:hAnsi="NotoSerifArabic" w:eastAsia="NotoSerifArabic" w:cs="NotoSerifArabic"/>
                <w:b w:val="0"/>
                <w:i w:val="0"/>
                <w:u w:val="none"/>
              </w:rPr>
              <w:t>3,500.00</w:t>
            </w:r>
          </w:p>
        </w:tc>
      </w:tr>
      <w:tr>
        <w:tc>
          <w:tcPr>
            <w:tcW w:type="dxa" w:w="1037"/>
          </w:tcPr>
          <w:p>
            <w:pPr>
              <w:spacing w:after="80" w:before="80"/>
            </w:pPr>
            <w:r>
              <w:rPr>
                <w:rFonts w:ascii="NotoSerifArabic" w:hAnsi="NotoSerifArabic" w:eastAsia="NotoSerifArabic" w:cs="NotoSerifArabic"/>
                <w:b w:val="0"/>
                <w:i w:val="0"/>
                <w:u w:val="none"/>
              </w:rPr>
              <w:t>TC-103</w:t>
            </w:r>
          </w:p>
        </w:tc>
        <w:tc>
          <w:tcPr>
            <w:tcW w:type="dxa" w:w="3528"/>
          </w:tcPr>
          <w:p>
            <w:pPr>
              <w:bidi w:val="1"/>
              <w:spacing w:after="80" w:before="80"/>
              <w:jc w:val="start"/>
            </w:pPr>
            <w:r>
              <w:rPr>
                <w:rFonts w:ascii="NotoSerifArabic" w:hAnsi="NotoSerifArabic" w:eastAsia="NotoSerifArabic" w:cs="NotoSerifArabic"/>
                <w:b w:val="0"/>
                <w:bCs w:val="0"/>
                <w:i w:val="0"/>
                <w:iCs w:val="0"/>
                <w:szCs w:val="21"/>
                <w:u w:val="none"/>
                <w:rtl/>
              </w:rPr>
              <w:t xml:space="preserve">مزهرية بتصميم بسيط</w:t>
            </w:r>
          </w:p>
        </w:tc>
        <w:tc>
          <w:tcPr>
            <w:tcW w:type="dxa" w:w="1267"/>
          </w:tcPr>
          <w:p>
            <w:pPr>
              <w:spacing w:after="80" w:before="80"/>
            </w:pPr>
            <w:r>
              <w:rPr>
                <w:rFonts w:ascii="NotoSerifArabic" w:hAnsi="NotoSerifArabic" w:eastAsia="NotoSerifArabic" w:cs="NotoSerifArabic"/>
                <w:b w:val="0"/>
                <w:i w:val="0"/>
                <w:u w:val="none"/>
              </w:rPr>
              <w:t>150</w:t>
            </w:r>
          </w:p>
        </w:tc>
        <w:tc>
          <w:tcPr>
            <w:tcW w:type="dxa" w:w="1512"/>
          </w:tcPr>
          <w:p>
            <w:pPr>
              <w:spacing w:after="80" w:before="80"/>
            </w:pPr>
            <w:r>
              <w:rPr>
                <w:rFonts w:ascii="NotoSerifArabic" w:hAnsi="NotoSerifArabic" w:eastAsia="NotoSerifArabic" w:cs="NotoSerifArabic"/>
                <w:b w:val="0"/>
                <w:i w:val="0"/>
                <w:u w:val="none"/>
              </w:rPr>
              <w:t>12.00</w:t>
            </w:r>
          </w:p>
        </w:tc>
        <w:tc>
          <w:tcPr>
            <w:tcW w:type="dxa" w:w="1584"/>
          </w:tcPr>
          <w:p>
            <w:pPr>
              <w:spacing w:after="80" w:before="80"/>
            </w:pPr>
            <w:r>
              <w:rPr>
                <w:rFonts w:ascii="NotoSerifArabic" w:hAnsi="NotoSerifArabic" w:eastAsia="NotoSerifArabic" w:cs="NotoSerifArabic"/>
                <w:b w:val="0"/>
                <w:i w:val="0"/>
                <w:u w:val="none"/>
              </w:rPr>
              <w:t>1,800.00</w:t>
            </w:r>
          </w:p>
        </w:tc>
      </w:tr>
    </w:tbl>
    <w:p>
      <w:pPr>
        <w:bidi w:val="1"/>
        <w:jc w:val="start"/>
      </w:pPr>
      <w:r>
        <w:rPr>
          <w:rFonts w:ascii="NotoSerifArabic" w:hAnsi="NotoSerifArabic" w:eastAsia="NotoSerifArabic" w:cs="NotoSerifArabic"/>
          <w:b w:val="0"/>
          <w:bCs w:val="0"/>
          <w:i/>
          <w:iCs/>
          <w:szCs w:val="21"/>
          <w:u w:val="none"/>
          <w:rtl/>
        </w:rPr>
        <w:t xml:space="preserve">ملاحظة: تبلغ القيمة الإجمالية لهذا الطلب </w:t>
      </w:r>
      <w:r>
        <w:rPr>
          <w:rFonts w:ascii="NotoSerifArabic" w:hAnsi="NotoSerifArabic" w:eastAsia="NotoSerifArabic" w:cs="NotoSerifArabic"/>
          <w:b w:val="0"/>
          <w:i/>
          <w:u w:val="none"/>
          <w:rtl w:val="0"/>
        </w:rPr>
        <w:t xml:space="preserve">8,550.00</w:t>
      </w:r>
      <w:r>
        <w:rPr>
          <w:rFonts w:ascii="NotoSerifArabic" w:hAnsi="NotoSerifArabic" w:eastAsia="NotoSerifArabic" w:cs="NotoSerifArabic"/>
          <w:b w:val="0"/>
          <w:bCs w:val="0"/>
          <w:i/>
          <w:iCs/>
          <w:szCs w:val="21"/>
          <w:u w:val="none"/>
          <w:rtl/>
        </w:rPr>
        <w:t xml:space="preserve"> دولارًا أمريكيًا. تُفرض رسوم إضافية بسيطة عند الطلب لطباعة شعار علامتكم التجارية حسب الطلب أو إضافة ملصقات بيع بالتجزئة خاصة.</w:t>
      </w:r>
    </w:p>
    <w:p>
      <w:pPr>
        <w:pStyle w:val="Heading1"/>
        <w:bidi w:val="1"/>
        <w:jc w:val="start"/>
      </w:pPr>
      <w:r>
        <w:rPr>
          <w:rFonts w:ascii="NotoSerifArabic" w:hAnsi="NotoSerifArabic" w:eastAsia="NotoSerifArabic" w:cs="NotoSerifArabic"/>
          <w:b w:val="0"/>
          <w:bCs w:val="0"/>
          <w:i w:val="0"/>
          <w:iCs w:val="0"/>
          <w:szCs w:val="24"/>
          <w:u w:val="none"/>
          <w:rtl/>
        </w:rPr>
        <w:t xml:space="preserve">ثانيًا: معايير التغليف وترتيبات مواعيد التسليم</w:t>
      </w:r>
    </w:p>
    <w:p>
      <w:pPr>
        <w:bidi w:val="1"/>
        <w:jc w:val="start"/>
      </w:pPr>
      <w:r>
        <w:rPr>
          <w:rFonts w:ascii="NotoSerifArabic" w:hAnsi="NotoSerifArabic" w:eastAsia="NotoSerifArabic" w:cs="NotoSerifArabic"/>
          <w:b w:val="0"/>
          <w:bCs w:val="0"/>
          <w:i w:val="0"/>
          <w:iCs w:val="0"/>
          <w:szCs w:val="21"/>
          <w:u w:val="none"/>
          <w:rtl/>
        </w:rPr>
        <w:t xml:space="preserve">لضمان وصول البضائع القابلة للكسر بأمان، رتبنا معايير الخدمات اللوجستية والتغليف التالية:</w:t>
      </w:r>
    </w:p>
    <w:p>
      <w:pPr>
        <w:pStyle w:val="ListBullet"/>
        <w:bidi w:val="1"/>
        <w:jc w:val="start"/>
      </w:pPr>
      <w:r>
        <w:rPr>
          <w:rFonts w:ascii="NotoSerifArabic" w:hAnsi="NotoSerifArabic" w:eastAsia="NotoSerifArabic" w:cs="NotoSerifArabic"/>
          <w:b/>
          <w:bCs/>
          <w:i w:val="0"/>
          <w:iCs w:val="0"/>
          <w:szCs w:val="21"/>
          <w:u w:val="none"/>
          <w:rtl/>
        </w:rPr>
        <w:t xml:space="preserve">تغليف واقٍ من التلف</w:t>
      </w:r>
      <w:r>
        <w:rPr>
          <w:rFonts w:ascii="NotoSerifArabic" w:hAnsi="NotoSerifArabic" w:eastAsia="NotoSerifArabic" w:cs="NotoSerifArabic"/>
          <w:b w:val="0"/>
          <w:bCs w:val="0"/>
          <w:i w:val="0"/>
          <w:iCs w:val="0"/>
          <w:szCs w:val="21"/>
          <w:u w:val="none"/>
          <w:rtl/>
        </w:rPr>
        <w:t xml:space="preserve"> : سيُعبأ كل منتج على حدة داخل </w:t>
      </w:r>
      <w:r>
        <w:rPr>
          <w:rFonts w:ascii="NotoSerifArabic" w:hAnsi="NotoSerifArabic" w:eastAsia="NotoSerifArabic" w:cs="NotoSerifArabic"/>
          <w:b w:val="0"/>
          <w:bCs w:val="0"/>
          <w:i w:val="0"/>
          <w:iCs w:val="0"/>
          <w:color w:val="005C4D"/>
          <w:szCs w:val="21"/>
          <w:u w:val="single"/>
          <w:rtl/>
        </w:rPr>
        <w:t xml:space="preserve">صندوق كرتوني مموج معزز بخمس طبقات</w:t>
      </w:r>
      <w:r>
        <w:rPr>
          <w:rFonts w:ascii="NotoSerifArabic" w:hAnsi="NotoSerifArabic" w:eastAsia="NotoSerifArabic" w:cs="NotoSerifArabic"/>
          <w:b w:val="0"/>
          <w:bCs w:val="0"/>
          <w:i w:val="0"/>
          <w:iCs w:val="0"/>
          <w:szCs w:val="21"/>
          <w:u w:val="none"/>
          <w:rtl/>
        </w:rPr>
        <w:t xml:space="preserve">، مع رغوة مخصصة لامتصاص الصدمات.</w:t>
      </w:r>
    </w:p>
    <w:p>
      <w:pPr>
        <w:pStyle w:val="ListBullet"/>
        <w:bidi w:val="1"/>
        <w:jc w:val="start"/>
      </w:pPr>
      <w:r>
        <w:rPr>
          <w:rFonts w:ascii="NotoSerifArabic" w:hAnsi="NotoSerifArabic" w:eastAsia="NotoSerifArabic" w:cs="NotoSerifArabic"/>
          <w:b/>
          <w:bCs/>
          <w:i w:val="0"/>
          <w:iCs w:val="0"/>
          <w:szCs w:val="21"/>
          <w:u w:val="none"/>
          <w:rtl/>
        </w:rPr>
        <w:t xml:space="preserve">شروط الشحن البحري</w:t>
      </w:r>
      <w:r>
        <w:rPr>
          <w:rFonts w:ascii="NotoSerifArabic" w:hAnsi="NotoSerifArabic" w:eastAsia="NotoSerifArabic" w:cs="NotoSerifArabic"/>
          <w:b w:val="0"/>
          <w:bCs w:val="0"/>
          <w:i w:val="0"/>
          <w:iCs w:val="0"/>
          <w:szCs w:val="21"/>
          <w:u w:val="none"/>
          <w:rtl/>
        </w:rPr>
        <w:t xml:space="preserve"> : تُنفذ هذه المعاملة وفق شروط </w:t>
      </w:r>
      <w:r>
        <w:rPr>
          <w:rFonts w:ascii="NotoSerifArabic" w:hAnsi="NotoSerifArabic" w:eastAsia="NotoSerifArabic" w:cs="NotoSerifArabic"/>
          <w:b w:val="0"/>
          <w:i w:val="0"/>
          <w:u w:val="none"/>
          <w:rtl w:val="0"/>
        </w:rPr>
        <w:t xml:space="preserve">FOB</w:t>
      </w:r>
      <w:r>
        <w:rPr>
          <w:rFonts w:ascii="NotoSerifArabic" w:hAnsi="NotoSerifArabic" w:eastAsia="NotoSerifArabic" w:cs="NotoSerifArabic"/>
          <w:b w:val="0"/>
          <w:bCs w:val="0"/>
          <w:i w:val="0"/>
          <w:iCs w:val="0"/>
          <w:szCs w:val="21"/>
          <w:u w:val="none"/>
          <w:rtl/>
        </w:rPr>
        <w:t xml:space="preserve"> القياسية، ميناء شنتشن </w:t>
      </w:r>
      <w:r>
        <w:rPr>
          <w:rFonts w:ascii="NotoSerifArabic" w:hAnsi="NotoSerifArabic" w:eastAsia="NotoSerifArabic" w:cs="NotoSerifArabic"/>
          <w:b w:val="0"/>
          <w:i w:val="0"/>
          <w:u w:val="none"/>
          <w:rtl w:val="0"/>
        </w:rPr>
        <w:t xml:space="preserve">(FOB Shenzhen Port)</w:t>
      </w:r>
      <w:r>
        <w:rPr>
          <w:rFonts w:ascii="NotoSerifArabic" w:hAnsi="NotoSerifArabic" w:eastAsia="NotoSerifArabic" w:cs="NotoSerifArabic"/>
          <w:b w:val="0"/>
          <w:bCs w:val="0"/>
          <w:i w:val="0"/>
          <w:iCs w:val="0"/>
          <w:szCs w:val="21"/>
          <w:u w:val="none"/>
          <w:rtl/>
        </w:rPr>
        <w:t xml:space="preserve">.</w:t>
      </w:r>
    </w:p>
    <w:p>
      <w:pPr>
        <w:pStyle w:val="ListBullet"/>
        <w:bidi w:val="1"/>
        <w:jc w:val="start"/>
      </w:pPr>
      <w:r>
        <w:rPr>
          <w:rFonts w:ascii="NotoSerifArabic" w:hAnsi="NotoSerifArabic" w:eastAsia="NotoSerifArabic" w:cs="NotoSerifArabic"/>
          <w:b/>
          <w:bCs/>
          <w:i w:val="0"/>
          <w:iCs w:val="0"/>
          <w:szCs w:val="21"/>
          <w:u w:val="none"/>
          <w:rtl/>
        </w:rPr>
        <w:t xml:space="preserve">مدة تجهيز البضائع</w:t>
      </w:r>
      <w:r>
        <w:rPr>
          <w:rFonts w:ascii="NotoSerifArabic" w:hAnsi="NotoSerifArabic" w:eastAsia="NotoSerifArabic" w:cs="NotoSerifArabic"/>
          <w:b w:val="0"/>
          <w:bCs w:val="0"/>
          <w:i w:val="0"/>
          <w:iCs w:val="0"/>
          <w:szCs w:val="21"/>
          <w:u w:val="none"/>
          <w:rtl/>
        </w:rPr>
        <w:t xml:space="preserve"> : بعد استلام تأكيدكم، ستُسلّم البضائع إلى رصيف التصدير المحدد خلال </w:t>
      </w:r>
      <w:r>
        <w:rPr>
          <w:rFonts w:ascii="NotoSerifArabic" w:hAnsi="NotoSerifArabic" w:eastAsia="NotoSerifArabic" w:cs="NotoSerifArabic"/>
          <w:b/>
          <w:i w:val="0"/>
          <w:u w:val="none"/>
          <w:rtl w:val="0"/>
        </w:rPr>
        <w:t xml:space="preserve">10</w:t>
      </w:r>
      <w:r>
        <w:rPr>
          <w:rFonts w:ascii="NotoSerifArabic" w:hAnsi="NotoSerifArabic" w:eastAsia="NotoSerifArabic" w:cs="NotoSerifArabic"/>
          <w:b/>
          <w:bCs/>
          <w:i w:val="0"/>
          <w:iCs w:val="0"/>
          <w:szCs w:val="21"/>
          <w:u w:val="none"/>
          <w:rtl/>
        </w:rPr>
        <w:t xml:space="preserve"> أيام عمل</w:t>
      </w:r>
      <w:r>
        <w:rPr>
          <w:rFonts w:ascii="NotoSerifArabic" w:hAnsi="NotoSerifArabic" w:eastAsia="NotoSerifArabic" w:cs="NotoSerifArabic"/>
          <w:b w:val="0"/>
          <w:bCs w:val="0"/>
          <w:i w:val="0"/>
          <w:iCs w:val="0"/>
          <w:szCs w:val="21"/>
          <w:u w:val="none"/>
          <w:rtl/>
        </w:rPr>
        <w:t xml:space="preserve">.</w:t>
      </w:r>
    </w:p>
    <w:p>
      <w:pPr>
        <w:pStyle w:val="ListBullet"/>
        <w:bidi w:val="1"/>
        <w:jc w:val="start"/>
      </w:pPr>
      <w:r>
        <w:rPr>
          <w:rFonts w:ascii="NotoSerifArabic" w:hAnsi="NotoSerifArabic" w:eastAsia="NotoSerifArabic" w:cs="NotoSerifArabic"/>
          <w:b/>
          <w:bCs/>
          <w:i w:val="0"/>
          <w:iCs w:val="0"/>
          <w:szCs w:val="21"/>
          <w:u w:val="none"/>
          <w:rtl/>
        </w:rPr>
        <w:t xml:space="preserve">فحص المصنع</w:t>
      </w:r>
      <w:r>
        <w:rPr>
          <w:rFonts w:ascii="NotoSerifArabic" w:hAnsi="NotoSerifArabic" w:eastAsia="NotoSerifArabic" w:cs="NotoSerifArabic"/>
          <w:b w:val="0"/>
          <w:bCs w:val="0"/>
          <w:i w:val="0"/>
          <w:iCs w:val="0"/>
          <w:szCs w:val="21"/>
          <w:u w:val="none"/>
          <w:rtl/>
        </w:rPr>
        <w:t xml:space="preserve"> : سنقدم تقريرًا بفحص ما قبل الشحن يتضمن صورًا فعلية قبل تعبئة البضائع.</w:t>
      </w:r>
    </w:p>
    <w:p>
      <w:pPr>
        <w:pStyle w:val="Heading1"/>
        <w:bidi w:val="1"/>
        <w:jc w:val="start"/>
      </w:pPr>
      <w:r>
        <w:rPr>
          <w:rFonts w:ascii="NotoSerifArabic" w:hAnsi="NotoSerifArabic" w:eastAsia="NotoSerifArabic" w:cs="NotoSerifArabic"/>
          <w:b w:val="0"/>
          <w:bCs w:val="0"/>
          <w:i w:val="0"/>
          <w:iCs w:val="0"/>
          <w:szCs w:val="24"/>
          <w:u w:val="none"/>
          <w:rtl/>
        </w:rPr>
        <w:t xml:space="preserve">ثالثًا: جدول الدفع والخطوات التالية</w:t>
      </w:r>
    </w:p>
    <w:p>
      <w:pPr>
        <w:bidi w:val="1"/>
        <w:jc w:val="start"/>
      </w:pPr>
      <w:r>
        <w:rPr>
          <w:rFonts w:ascii="NotoSerifArabic" w:hAnsi="NotoSerifArabic" w:eastAsia="NotoSerifArabic" w:cs="NotoSerifArabic"/>
          <w:b w:val="0"/>
          <w:bCs w:val="0"/>
          <w:i w:val="0"/>
          <w:iCs w:val="0"/>
          <w:szCs w:val="21"/>
          <w:u w:val="none"/>
          <w:rtl/>
        </w:rPr>
        <w:t xml:space="preserve">لتأكيد الطلب وحجز موعد الإنتاج، يُرجى ترتيب الدفع وفق الجدول التالي:</w:t>
      </w:r>
    </w:p>
    <w:p>
      <w:pPr>
        <w:pStyle w:val="ListNumber"/>
        <w:bidi w:val="1"/>
        <w:jc w:val="start"/>
      </w:pPr>
      <w:r>
        <w:rPr>
          <w:rFonts w:ascii="NotoSerifArabic" w:hAnsi="NotoSerifArabic" w:eastAsia="NotoSerifArabic" w:cs="NotoSerifArabic"/>
          <w:b w:val="0"/>
          <w:bCs w:val="0"/>
          <w:i w:val="0"/>
          <w:iCs w:val="0"/>
          <w:szCs w:val="21"/>
          <w:u w:val="none"/>
          <w:rtl/>
        </w:rPr>
        <w:t xml:space="preserve">يُرجى دفع عربون بنسبة </w:t>
      </w:r>
      <w:r>
        <w:rPr>
          <w:rFonts w:ascii="NotoSerifArabic" w:hAnsi="NotoSerifArabic" w:eastAsia="NotoSerifArabic" w:cs="NotoSerifArabic"/>
          <w:b w:val="0"/>
          <w:i w:val="0"/>
          <w:u w:val="none"/>
          <w:rtl w:val="0"/>
        </w:rPr>
        <w:t xml:space="preserve">30%</w:t>
      </w:r>
      <w:r>
        <w:rPr>
          <w:rFonts w:ascii="NotoSerifArabic" w:hAnsi="NotoSerifArabic" w:eastAsia="NotoSerifArabic" w:cs="NotoSerifArabic"/>
          <w:b w:val="0"/>
          <w:bCs w:val="0"/>
          <w:i w:val="0"/>
          <w:iCs w:val="0"/>
          <w:szCs w:val="21"/>
          <w:u w:val="none"/>
          <w:rtl/>
        </w:rPr>
        <w:t xml:space="preserve"> من إجمالي قيمة الطلب (أي </w:t>
      </w:r>
      <w:r>
        <w:rPr>
          <w:rFonts w:ascii="NotoSerifArabic" w:hAnsi="NotoSerifArabic" w:eastAsia="NotoSerifArabic" w:cs="NotoSerifArabic"/>
          <w:b w:val="0"/>
          <w:i w:val="0"/>
          <w:u w:val="none"/>
          <w:rtl w:val="0"/>
        </w:rPr>
        <w:t xml:space="preserve">2,565.00</w:t>
      </w:r>
      <w:r>
        <w:rPr>
          <w:rFonts w:ascii="NotoSerifArabic" w:hAnsi="NotoSerifArabic" w:eastAsia="NotoSerifArabic" w:cs="NotoSerifArabic"/>
          <w:b w:val="0"/>
          <w:bCs w:val="0"/>
          <w:i w:val="0"/>
          <w:iCs w:val="0"/>
          <w:szCs w:val="21"/>
          <w:u w:val="none"/>
          <w:rtl/>
        </w:rPr>
        <w:t xml:space="preserve"> دولارًا أمريكيًا) قبل بدء الإنتاج وتجهيز البضائع.</w:t>
      </w:r>
    </w:p>
    <w:p>
      <w:pPr>
        <w:pStyle w:val="ListNumber"/>
        <w:bidi w:val="1"/>
        <w:jc w:val="start"/>
      </w:pPr>
      <w:r>
        <w:rPr>
          <w:rFonts w:ascii="NotoSerifArabic" w:hAnsi="NotoSerifArabic" w:eastAsia="NotoSerifArabic" w:cs="NotoSerifArabic"/>
          <w:b w:val="0"/>
          <w:bCs w:val="0"/>
          <w:i w:val="0"/>
          <w:iCs w:val="0"/>
          <w:szCs w:val="21"/>
          <w:u w:val="none"/>
          <w:rtl/>
        </w:rPr>
        <w:t xml:space="preserve">يُرجى سداد الرصيد المتبقي البالغ </w:t>
      </w:r>
      <w:r>
        <w:rPr>
          <w:rFonts w:ascii="NotoSerifArabic" w:hAnsi="NotoSerifArabic" w:eastAsia="NotoSerifArabic" w:cs="NotoSerifArabic"/>
          <w:b w:val="0"/>
          <w:i w:val="0"/>
          <w:u w:val="none"/>
          <w:rtl w:val="0"/>
        </w:rPr>
        <w:t xml:space="preserve">70%</w:t>
      </w:r>
      <w:r>
        <w:rPr>
          <w:rFonts w:ascii="NotoSerifArabic" w:hAnsi="NotoSerifArabic" w:eastAsia="NotoSerifArabic" w:cs="NotoSerifArabic"/>
          <w:b w:val="0"/>
          <w:bCs w:val="0"/>
          <w:i w:val="0"/>
          <w:iCs w:val="0"/>
          <w:szCs w:val="21"/>
          <w:u w:val="none"/>
          <w:rtl/>
        </w:rPr>
        <w:t xml:space="preserve"> (أي </w:t>
      </w:r>
      <w:r>
        <w:rPr>
          <w:rFonts w:ascii="NotoSerifArabic" w:hAnsi="NotoSerifArabic" w:eastAsia="NotoSerifArabic" w:cs="NotoSerifArabic"/>
          <w:b w:val="0"/>
          <w:i w:val="0"/>
          <w:u w:val="none"/>
          <w:rtl w:val="0"/>
        </w:rPr>
        <w:t xml:space="preserve">5,985.00</w:t>
      </w:r>
      <w:r>
        <w:rPr>
          <w:rFonts w:ascii="NotoSerifArabic" w:hAnsi="NotoSerifArabic" w:eastAsia="NotoSerifArabic" w:cs="NotoSerifArabic"/>
          <w:b w:val="0"/>
          <w:bCs w:val="0"/>
          <w:i w:val="0"/>
          <w:iCs w:val="0"/>
          <w:szCs w:val="21"/>
          <w:u w:val="none"/>
          <w:rtl/>
        </w:rPr>
        <w:t xml:space="preserve"> دولارًا أمريكيًا) خلال </w:t>
      </w:r>
      <w:r>
        <w:rPr>
          <w:rFonts w:ascii="NotoSerifArabic" w:hAnsi="NotoSerifArabic" w:eastAsia="NotoSerifArabic" w:cs="NotoSerifArabic"/>
          <w:b/>
          <w:i w:val="0"/>
          <w:u w:val="none"/>
          <w:rtl w:val="0"/>
        </w:rPr>
        <w:t xml:space="preserve">5</w:t>
      </w:r>
      <w:r>
        <w:rPr>
          <w:rFonts w:ascii="NotoSerifArabic" w:hAnsi="NotoSerifArabic" w:eastAsia="NotoSerifArabic" w:cs="NotoSerifArabic"/>
          <w:b/>
          <w:bCs/>
          <w:i w:val="0"/>
          <w:iCs w:val="0"/>
          <w:szCs w:val="21"/>
          <w:u w:val="none"/>
          <w:rtl/>
        </w:rPr>
        <w:t xml:space="preserve"> أيام من استلام نسخة من بوليصة الشحن </w:t>
      </w:r>
      <w:r>
        <w:rPr>
          <w:rFonts w:ascii="NotoSerifArabic" w:hAnsi="NotoSerifArabic" w:eastAsia="NotoSerifArabic" w:cs="NotoSerifArabic"/>
          <w:b/>
          <w:i w:val="0"/>
          <w:u w:val="none"/>
          <w:rtl w:val="0"/>
        </w:rPr>
        <w:t xml:space="preserve">(B/L)</w:t>
      </w:r>
      <w:r>
        <w:rPr>
          <w:rFonts w:ascii="NotoSerifArabic" w:hAnsi="NotoSerifArabic" w:eastAsia="NotoSerifArabic" w:cs="NotoSerifArabic"/>
          <w:b w:val="0"/>
          <w:bCs w:val="0"/>
          <w:i w:val="0"/>
          <w:iCs w:val="0"/>
          <w:szCs w:val="21"/>
          <w:u w:val="none"/>
          <w:rtl/>
        </w:rPr>
        <w:t xml:space="preserve">.</w:t>
      </w:r>
    </w:p>
    <w:p>
      <w:pPr>
        <w:bidi w:val="1"/>
        <w:jc w:val="start"/>
      </w:pPr>
      <w:r>
        <w:rPr>
          <w:rFonts w:ascii="NotoSerifArabic" w:hAnsi="NotoSerifArabic" w:eastAsia="NotoSerifArabic" w:cs="NotoSerifArabic"/>
          <w:b w:val="0"/>
          <w:bCs w:val="0"/>
          <w:i w:val="0"/>
          <w:iCs w:val="0"/>
          <w:szCs w:val="21"/>
          <w:u w:val="none"/>
          <w:rtl/>
        </w:rPr>
        <w:t xml:space="preserve">إذا كانت جميع الشروط المذكورة أعلاه دقيقة، يُرجى الرد بعبارة «أؤكد الموافقة» قبل </w:t>
      </w:r>
      <w:r>
        <w:rPr>
          <w:rFonts w:ascii="NotoSerifArabic" w:hAnsi="NotoSerifArabic" w:eastAsia="NotoSerifArabic" w:cs="NotoSerifArabic"/>
          <w:b/>
          <w:bCs/>
          <w:i w:val="0"/>
          <w:iCs w:val="0"/>
          <w:szCs w:val="21"/>
          <w:u w:val="none"/>
          <w:rtl/>
        </w:rPr>
        <w:t xml:space="preserve">الساعة </w:t>
      </w:r>
      <w:r>
        <w:rPr>
          <w:rFonts w:ascii="NotoSerifArabic" w:hAnsi="NotoSerifArabic" w:eastAsia="NotoSerifArabic" w:cs="NotoSerifArabic"/>
          <w:b/>
          <w:i w:val="0"/>
          <w:u w:val="none"/>
          <w:rtl w:val="0"/>
        </w:rPr>
        <w:t xml:space="preserve">5</w:t>
      </w:r>
      <w:r>
        <w:rPr>
          <w:rFonts w:ascii="NotoSerifArabic" w:hAnsi="NotoSerifArabic" w:eastAsia="NotoSerifArabic" w:cs="NotoSerifArabic"/>
          <w:b/>
          <w:bCs/>
          <w:i w:val="0"/>
          <w:iCs w:val="0"/>
          <w:szCs w:val="21"/>
          <w:u w:val="none"/>
          <w:rtl/>
        </w:rPr>
        <w:t xml:space="preserve"> مساءً يوم الجمعة من هذا الأسبوع</w:t>
      </w:r>
      <w:r>
        <w:rPr>
          <w:rFonts w:ascii="NotoSerifArabic" w:hAnsi="NotoSerifArabic" w:eastAsia="NotoSerifArabic" w:cs="NotoSerifArabic"/>
          <w:b w:val="0"/>
          <w:bCs w:val="0"/>
          <w:i w:val="0"/>
          <w:iCs w:val="0"/>
          <w:szCs w:val="21"/>
          <w:u w:val="none"/>
          <w:rtl/>
        </w:rPr>
        <w:t xml:space="preserve">. فور استلام تأكيدكم، سيحجز فريقنا المخزون على الفور ويبدأ إجراءات التغليف والشحن.</w:t>
      </w:r>
    </w:p>
    <w:p>
      <w:pPr>
        <w:bidi w:val="1"/>
        <w:jc w:val="start"/>
      </w:pPr>
      <w:r>
        <w:rPr>
          <w:rFonts w:ascii="NotoSerifArabic" w:hAnsi="NotoSerifArabic" w:eastAsia="NotoSerifArabic" w:cs="NotoSerifArabic"/>
          <w:b w:val="0"/>
          <w:bCs w:val="0"/>
          <w:i w:val="0"/>
          <w:iCs w:val="0"/>
          <w:szCs w:val="21"/>
          <w:u w:val="none"/>
          <w:rtl/>
        </w:rPr>
        <w:t xml:space="preserve">مع أطيب التحيات،</w:t>
      </w:r>
    </w:p>
    <w:p>
      <w:pPr>
        <w:bidi w:val="1"/>
        <w:jc w:val="start"/>
      </w:pPr>
      <w:r>
        <w:rPr>
          <w:rFonts w:ascii="NotoSerifArabic" w:hAnsi="NotoSerifArabic" w:eastAsia="NotoSerifArabic" w:cs="NotoSerifArabic"/>
          <w:b w:val="0"/>
          <w:bCs w:val="0"/>
          <w:i w:val="0"/>
          <w:iCs w:val="0"/>
          <w:szCs w:val="21"/>
          <w:u w:val="none"/>
          <w:rtl/>
        </w:rPr>
        <w:t xml:space="preserve">فريق إكويلانغ</w:t>
      </w:r>
    </w:p>
    <w:sectPr w:rsidR="00FC693F" w:rsidRPr="0006063C" w:rsidSect="00034616">
      <w:headerReference w:type="default" r:id="rId9"/>
      <w:footerReference w:type="default" r:id="rId10"/>
      <w:pgSz w:w="11909" w:h="16834"/>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start"/>
    </w:pPr>
    <w:r>
      <w:rPr>
        <w:rFonts w:ascii="NotoSerifArabic" w:hAnsi="NotoSerifArabic" w:eastAsia="NotoSerifArabic" w:cs="NotoSerifArabic"/>
        <w:sz w:val="16"/>
        <w:szCs w:val="16"/>
        <w:rtl/>
      </w:rPr>
      <w:t xml:space="preserve">مواد عرض توضيحية افتراضية - ليست مستندًا حقيقيًا لإثبات المعاملة</w:t>
    </w:r>
    <w:r>
      <w:rPr>
        <w:rFonts w:ascii="NotoSerifArabic" w:hAnsi="NotoSerifArabic" w:eastAsia="NotoSerifArabic" w:cs="NotoSerifArabic"/>
        <w:szCs w:val="21"/>
        <w:rtl/>
      </w:rP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jc w:val="start"/>
    </w:pPr>
    <w:r>
      <w:rPr>
        <w:rFonts w:ascii="NotoSerifArabic" w:hAnsi="NotoSerifArabic" w:eastAsia="NotoSerifArabic" w:cs="NotoSerifArabic"/>
        <w:sz w:val="16"/>
        <w:szCs w:val="16"/>
        <w:rtl/>
      </w:rPr>
      <w:t xml:space="preserve">فريق إكويلانغ - تأكيد التوريد</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80"/>
    </w:pPr>
    <w:rPr>
      <w:rFonts w:ascii="Arial Unicode MS" w:hAnsi="Arial Unicode MS" w:eastAsia="Arial Unicode M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80" w:line="240" w:lineRule="auto"/>
      <w:outlineLvl w:val="0"/>
    </w:pPr>
    <w:rPr>
      <w:rFonts w:asciiTheme="majorHAnsi" w:eastAsiaTheme="majorEastAsia" w:hAnsiTheme="majorHAnsi" w:cstheme="majorBidi" w:ascii="Arial Unicode MS" w:hAnsi="Arial Unicode MS" w:eastAsia="Arial Unicode MS"/>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Theme="majorHAnsi" w:eastAsiaTheme="majorEastAsia" w:hAnsiTheme="majorHAnsi" w:cstheme="majorBidi" w:ascii="Arial Unicode MS" w:hAnsi="Arial Unicode MS" w:eastAsia="Arial Unicode MS"/>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40" w:lineRule="auto"/>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line="240" w:lineRule="auto"/>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陶瓷产品供货与发货确认单</dc:title>
  <dc:subject/>
  <dc:creator>Equalang</dc:creator>
  <cp:keywords/>
  <dc:description>本文档由 Equalang AI 翻译（equalang.com）生成，内容仅供参考。
This document was translated by Equalang AI (equalang.com) and is for informational purposes only.</dc:description>
  <cp:lastModifiedBy>Equalang</cp:lastModifiedBy>
  <cp:revision>1</cp:revision>
  <dcterms:created xsi:type="dcterms:W3CDTF">2013-12-23T23:15:00Z</dcterms:created>
  <dcterms:modified xsi:type="dcterms:W3CDTF">2013-12-23T23:15:00Z</dcterms:modified>
  <cp:category/>
</cp:coreProperties>
</file>