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u w:val="none"/>
        </w:rPr>
        <w:t>Ceramic Products Supply and Shipping Confirmation</w:t>
      </w:r>
    </w:p>
    <w:p>
      <w:r>
        <w:rPr>
          <w:b w:val="0"/>
          <w:i w:val="0"/>
          <w:u w:val="none"/>
        </w:rPr>
        <w:t>Thank you for your recent inquiry. This document confirms the core order details, expected delivery schedule, and payment terms for your upcoming ceramic product shipment. Please verify the items, quantities, and pricing in the table below before we process the final order.</w:t>
      </w:r>
    </w:p>
    <w:p>
      <w:pPr>
        <w:pStyle w:val="Heading1"/>
      </w:pPr>
      <w:r>
        <w:rPr>
          <w:b w:val="0"/>
          <w:i w:val="0"/>
          <w:u w:val="none"/>
        </w:rPr>
        <w:t>1. Product Specifications and Pricing</w:t>
      </w:r>
    </w:p>
    <w:p>
      <w:r>
        <w:rPr>
          <w:b w:val="0"/>
          <w:i w:val="0"/>
          <w:u w:val="none"/>
        </w:rPr>
        <w:t>The table below lists the specific ceramic items reserved for this shipment. All unit prices are in US Dollars (USD) and already include standard export-grade protective packaging to prevent any transit damage.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b/>
                <w:i w:val="0"/>
                <w:u w:val="none"/>
              </w:rPr>
              <w:t>SKU</w:t>
            </w:r>
          </w:p>
        </w:tc>
        <w:tc>
          <w:tcPr>
            <w:tcW w:type="dxa" w:w="3528"/>
            <w:shd w:fill="DDEBF7"/>
          </w:tcPr>
          <w:p>
            <w:pPr>
              <w:spacing w:after="80" w:before="80"/>
            </w:pPr>
            <w:r>
              <w:rPr>
                <w:b/>
                <w:i w:val="0"/>
                <w:u w:val="none"/>
              </w:rPr>
              <w:t>Product Description</w:t>
            </w:r>
          </w:p>
        </w:tc>
        <w:tc>
          <w:tcPr>
            <w:tcW w:type="dxa" w:w="1267"/>
            <w:shd w:fill="DDEBF7"/>
          </w:tcPr>
          <w:p>
            <w:pPr>
              <w:spacing w:after="80" w:before="80"/>
            </w:pPr>
            <w:r>
              <w:rPr>
                <w:b/>
                <w:i w:val="0"/>
                <w:u w:val="none"/>
              </w:rPr>
              <w:t>Quantity</w:t>
            </w:r>
          </w:p>
        </w:tc>
        <w:tc>
          <w:tcPr>
            <w:tcW w:type="dxa" w:w="1512"/>
            <w:shd w:fill="DDEBF7"/>
          </w:tcPr>
          <w:p>
            <w:pPr>
              <w:spacing w:after="80" w:before="80"/>
            </w:pPr>
            <w:r>
              <w:rPr>
                <w:b/>
                <w:i w:val="0"/>
                <w:u w:val="none"/>
              </w:rPr>
              <w:t>Unit Price (USD)</w:t>
            </w:r>
          </w:p>
        </w:tc>
        <w:tc>
          <w:tcPr>
            <w:tcW w:type="dxa" w:w="1584"/>
            <w:shd w:fill="DDEBF7"/>
          </w:tcPr>
          <w:p>
            <w:pPr>
              <w:spacing w:after="80" w:before="80"/>
            </w:pPr>
            <w:r>
              <w:rPr>
                <w:b/>
                <w:i w:val="0"/>
                <w:u w:val="none"/>
              </w:rPr>
              <w:t>Total Price (USD)</w:t>
            </w:r>
          </w:p>
        </w:tc>
      </w:tr>
      <w:tr>
        <w:tc>
          <w:tcPr>
            <w:tcW w:type="dxa" w:w="1037"/>
          </w:tcPr>
          <w:p>
            <w:pPr>
              <w:spacing w:after="80" w:before="80"/>
            </w:pPr>
            <w:r>
              <w:rPr>
                <w:b w:val="0"/>
                <w:i w:val="0"/>
                <w:u w:val="none"/>
              </w:rPr>
              <w:t>TC-101</w:t>
            </w:r>
          </w:p>
        </w:tc>
        <w:tc>
          <w:tcPr>
            <w:tcW w:type="dxa" w:w="3528"/>
          </w:tcPr>
          <w:p>
            <w:pPr>
              <w:spacing w:after="80" w:before="80"/>
            </w:pPr>
            <w:r>
              <w:rPr>
                <w:b w:val="0"/>
                <w:i w:val="0"/>
                <w:u w:val="none"/>
              </w:rPr>
              <w:t>Glazed Dinner Plate Set</w:t>
            </w:r>
          </w:p>
        </w:tc>
        <w:tc>
          <w:tcPr>
            <w:tcW w:type="dxa" w:w="1267"/>
          </w:tcPr>
          <w:p>
            <w:pPr>
              <w:spacing w:after="80" w:before="80"/>
            </w:pPr>
            <w:r>
              <w:rPr>
                <w:b w:val="0"/>
                <w:i w:val="0"/>
                <w:u w:val="none"/>
              </w:rPr>
              <w:t>500</w:t>
            </w:r>
          </w:p>
        </w:tc>
        <w:tc>
          <w:tcPr>
            <w:tcW w:type="dxa" w:w="1512"/>
          </w:tcPr>
          <w:p>
            <w:pPr>
              <w:spacing w:after="80" w:before="80"/>
            </w:pPr>
            <w:r>
              <w:rPr>
                <w:b w:val="0"/>
                <w:i w:val="0"/>
                <w:u w:val="none"/>
              </w:rPr>
              <w:t>6.50</w:t>
            </w:r>
          </w:p>
        </w:tc>
        <w:tc>
          <w:tcPr>
            <w:tcW w:type="dxa" w:w="1584"/>
          </w:tcPr>
          <w:p>
            <w:pPr>
              <w:spacing w:after="80" w:before="80"/>
            </w:pPr>
            <w:r>
              <w:rPr>
                <w:b w:val="0"/>
                <w:i w:val="0"/>
                <w:u w:val="none"/>
              </w:rPr>
              <w:t>3,250.00</w:t>
            </w:r>
          </w:p>
        </w:tc>
      </w:tr>
      <w:tr>
        <w:tc>
          <w:tcPr>
            <w:tcW w:type="dxa" w:w="1037"/>
          </w:tcPr>
          <w:p>
            <w:pPr>
              <w:spacing w:after="80" w:before="80"/>
            </w:pPr>
            <w:r>
              <w:rPr>
                <w:b w:val="0"/>
                <w:i w:val="0"/>
                <w:u w:val="none"/>
              </w:rPr>
              <w:t>TC-102</w:t>
            </w:r>
          </w:p>
        </w:tc>
        <w:tc>
          <w:tcPr>
            <w:tcW w:type="dxa" w:w="3528"/>
          </w:tcPr>
          <w:p>
            <w:pPr>
              <w:spacing w:after="80" w:before="80"/>
            </w:pPr>
            <w:r>
              <w:rPr>
                <w:b w:val="0"/>
                <w:i w:val="0"/>
                <w:u w:val="none"/>
              </w:rPr>
              <w:t>Handmade White Porcelain Tea Set</w:t>
            </w:r>
          </w:p>
        </w:tc>
        <w:tc>
          <w:tcPr>
            <w:tcW w:type="dxa" w:w="1267"/>
          </w:tcPr>
          <w:p>
            <w:pPr>
              <w:spacing w:after="80" w:before="80"/>
            </w:pPr>
            <w:r>
              <w:rPr>
                <w:b w:val="0"/>
                <w:i w:val="0"/>
                <w:u w:val="none"/>
              </w:rPr>
              <w:t>200</w:t>
            </w:r>
          </w:p>
        </w:tc>
        <w:tc>
          <w:tcPr>
            <w:tcW w:type="dxa" w:w="1512"/>
          </w:tcPr>
          <w:p>
            <w:pPr>
              <w:spacing w:after="80" w:before="80"/>
            </w:pPr>
            <w:r>
              <w:rPr>
                <w:b w:val="0"/>
                <w:i w:val="0"/>
                <w:u w:val="none"/>
              </w:rPr>
              <w:t>17.50</w:t>
            </w:r>
          </w:p>
        </w:tc>
        <w:tc>
          <w:tcPr>
            <w:tcW w:type="dxa" w:w="1584"/>
          </w:tcPr>
          <w:p>
            <w:pPr>
              <w:spacing w:after="80" w:before="80"/>
            </w:pPr>
            <w:r>
              <w:rPr>
                <w:b w:val="0"/>
                <w:i w:val="0"/>
                <w:u w:val="none"/>
              </w:rPr>
              <w:t>3,500.00</w:t>
            </w:r>
          </w:p>
        </w:tc>
      </w:tr>
      <w:tr>
        <w:tc>
          <w:tcPr>
            <w:tcW w:type="dxa" w:w="1037"/>
          </w:tcPr>
          <w:p>
            <w:pPr>
              <w:spacing w:after="80" w:before="80"/>
            </w:pPr>
            <w:r>
              <w:rPr>
                <w:b w:val="0"/>
                <w:i w:val="0"/>
                <w:u w:val="none"/>
              </w:rPr>
              <w:t>TC-103</w:t>
            </w:r>
          </w:p>
        </w:tc>
        <w:tc>
          <w:tcPr>
            <w:tcW w:type="dxa" w:w="3528"/>
          </w:tcPr>
          <w:p>
            <w:pPr>
              <w:spacing w:after="80" w:before="80"/>
            </w:pPr>
            <w:r>
              <w:rPr>
                <w:b w:val="0"/>
                <w:i w:val="0"/>
                <w:u w:val="none"/>
              </w:rPr>
              <w:t>Minimalist Ceramic Vase</w:t>
            </w:r>
          </w:p>
        </w:tc>
        <w:tc>
          <w:tcPr>
            <w:tcW w:type="dxa" w:w="1267"/>
          </w:tcPr>
          <w:p>
            <w:pPr>
              <w:spacing w:after="80" w:before="80"/>
            </w:pPr>
            <w:r>
              <w:rPr>
                <w:b w:val="0"/>
                <w:i w:val="0"/>
                <w:u w:val="none"/>
              </w:rPr>
              <w:t>150</w:t>
            </w:r>
          </w:p>
        </w:tc>
        <w:tc>
          <w:tcPr>
            <w:tcW w:type="dxa" w:w="1512"/>
          </w:tcPr>
          <w:p>
            <w:pPr>
              <w:spacing w:after="80" w:before="80"/>
            </w:pPr>
            <w:r>
              <w:rPr>
                <w:b w:val="0"/>
                <w:i w:val="0"/>
                <w:u w:val="none"/>
              </w:rPr>
              <w:t>12.00</w:t>
            </w:r>
          </w:p>
        </w:tc>
        <w:tc>
          <w:tcPr>
            <w:tcW w:type="dxa" w:w="1584"/>
          </w:tcPr>
          <w:p>
            <w:pPr>
              <w:spacing w:after="80" w:before="80"/>
            </w:pPr>
            <w:r>
              <w:rPr>
                <w:b w:val="0"/>
                <w:i w:val="0"/>
                <w:u w:val="none"/>
              </w:rPr>
              <w:t>1,800.00</w:t>
            </w:r>
          </w:p>
        </w:tc>
      </w:tr>
    </w:tbl>
    <w:p>
      <w:r>
        <w:rPr>
          <w:b w:val="0"/>
          <w:i/>
          <w:u w:val="none"/>
        </w:rPr>
        <w:t>Note: The total value for this order is 8,550.00 USD. Custom logo printing and specialized retail labeling are also available upon request for an additional fee.</w:t>
      </w:r>
    </w:p>
    <w:p>
      <w:pPr>
        <w:pStyle w:val="Heading1"/>
      </w:pPr>
      <w:r>
        <w:rPr>
          <w:b w:val="0"/>
          <w:i w:val="0"/>
          <w:u w:val="none"/>
        </w:rPr>
        <w:t>2. Delivery and Packaging Details</w:t>
      </w:r>
    </w:p>
    <w:p>
      <w:r>
        <w:rPr>
          <w:b w:val="0"/>
          <w:i w:val="0"/>
          <w:u w:val="none"/>
        </w:rPr>
        <w:t>We have arranged the following logistics and shipping procedures to ensure your fragile goods arrive safely:</w:t>
      </w:r>
    </w:p>
    <w:p>
      <w:pPr>
        <w:pStyle w:val="ListBullet"/>
      </w:pPr>
      <w:r>
        <w:rPr>
          <w:b/>
          <w:i w:val="0"/>
          <w:u w:val="none"/>
        </w:rPr>
        <w:t>Packaging Standard</w:t>
      </w:r>
      <w:r>
        <w:rPr>
          <w:b w:val="0"/>
          <w:i w:val="0"/>
          <w:u w:val="none"/>
        </w:rPr>
        <w:t xml:space="preserve">: Each item is individually packed in a </w:t>
      </w:r>
      <w:r>
        <w:rPr>
          <w:b w:val="0"/>
          <w:i w:val="0"/>
          <w:color w:val="005C4D"/>
          <w:u w:val="single"/>
        </w:rPr>
        <w:t>reinforced five-ply corrugated box</w:t>
      </w:r>
      <w:r>
        <w:rPr>
          <w:b w:val="0"/>
          <w:i w:val="0"/>
          <w:u w:val="none"/>
        </w:rPr>
        <w:t xml:space="preserve"> with custom-molded foam inserts.</w:t>
      </w:r>
    </w:p>
    <w:p>
      <w:pPr>
        <w:pStyle w:val="ListBullet"/>
      </w:pPr>
      <w:r>
        <w:rPr>
          <w:b/>
          <w:i w:val="0"/>
          <w:u w:val="none"/>
        </w:rPr>
        <w:t>Shipping Terms</w:t>
      </w:r>
      <w:r>
        <w:rPr>
          <w:b w:val="0"/>
          <w:i w:val="0"/>
          <w:u w:val="none"/>
        </w:rPr>
        <w:t>: This transaction is processed under standard FOB Shenzhen Port terms.</w:t>
      </w:r>
    </w:p>
    <w:p>
      <w:pPr>
        <w:pStyle w:val="ListBullet"/>
      </w:pPr>
      <w:r>
        <w:rPr>
          <w:b/>
          <w:i w:val="0"/>
          <w:u w:val="none"/>
        </w:rPr>
        <w:t>Lead Time</w:t>
      </w:r>
      <w:r>
        <w:rPr>
          <w:b w:val="0"/>
          <w:i w:val="0"/>
          <w:u w:val="none"/>
        </w:rPr>
        <w:t xml:space="preserve">: The consolidated cargo will be delivered directly to the export terminal within </w:t>
      </w:r>
      <w:r>
        <w:rPr>
          <w:b/>
          <w:i w:val="0"/>
          <w:u w:val="none"/>
        </w:rPr>
        <w:t>10 business days</w:t>
      </w:r>
      <w:r>
        <w:rPr>
          <w:b w:val="0"/>
          <w:i w:val="0"/>
          <w:u w:val="none"/>
        </w:rPr>
        <w:t xml:space="preserve"> of receiving your confirmation.</w:t>
      </w:r>
    </w:p>
    <w:p>
      <w:pPr>
        <w:pStyle w:val="ListBullet"/>
      </w:pPr>
      <w:r>
        <w:rPr>
          <w:b/>
          <w:i w:val="0"/>
          <w:u w:val="none"/>
        </w:rPr>
        <w:t>Quality Inspection</w:t>
      </w:r>
      <w:r>
        <w:rPr>
          <w:b w:val="0"/>
          <w:i w:val="0"/>
          <w:u w:val="none"/>
        </w:rPr>
        <w:t>: A complete pre-shipment inspection report with detailed photos will be provided prior to loading.</w:t>
      </w:r>
    </w:p>
    <w:p>
      <w:pPr>
        <w:pStyle w:val="Heading1"/>
      </w:pPr>
      <w:r>
        <w:rPr>
          <w:b w:val="0"/>
          <w:i w:val="0"/>
          <w:u w:val="none"/>
        </w:rPr>
        <w:t>3. Payment Schedule and Next Steps</w:t>
      </w:r>
    </w:p>
    <w:p>
      <w:r>
        <w:rPr>
          <w:b w:val="0"/>
          <w:i w:val="0"/>
          <w:u w:val="none"/>
        </w:rPr>
        <w:t>To confirm this order and secure your factory production slot, please follow this payment schedule:</w:t>
      </w:r>
    </w:p>
    <w:p>
      <w:pPr>
        <w:pStyle w:val="ListNumber"/>
      </w:pPr>
      <w:r>
        <w:rPr>
          <w:b w:val="0"/>
          <w:i w:val="0"/>
          <w:u w:val="none"/>
        </w:rPr>
        <w:t>A standard deposit of 30% (2,565.00 USD) is required before production and staging begin.</w:t>
      </w:r>
    </w:p>
    <w:p>
      <w:pPr>
        <w:pStyle w:val="ListNumber"/>
      </w:pPr>
      <w:r>
        <w:rPr>
          <w:b w:val="0"/>
          <w:i w:val="0"/>
          <w:u w:val="none"/>
        </w:rPr>
        <w:t xml:space="preserve">The remaining 70% balance (5,985.00 USD) is due within </w:t>
      </w:r>
      <w:r>
        <w:rPr>
          <w:b/>
          <w:i w:val="0"/>
          <w:u w:val="none"/>
        </w:rPr>
        <w:t>5 days of receiving the copy of the Bill of Lading (B/L)</w:t>
      </w:r>
      <w:r>
        <w:rPr>
          <w:b w:val="0"/>
          <w:i w:val="0"/>
          <w:u w:val="none"/>
        </w:rPr>
        <w:t>.</w:t>
      </w:r>
    </w:p>
    <w:p>
      <w:r>
        <w:rPr>
          <w:b w:val="0"/>
          <w:i w:val="0"/>
          <w:u w:val="none"/>
        </w:rPr>
        <w:t xml:space="preserve">If these terms are correct, please reply to this document with "Accepted" by </w:t>
      </w:r>
      <w:r>
        <w:rPr>
          <w:b/>
          <w:i w:val="0"/>
          <w:u w:val="none"/>
        </w:rPr>
        <w:t>5:00 PM this Friday</w:t>
      </w:r>
      <w:r>
        <w:rPr>
          <w:b w:val="0"/>
          <w:i w:val="0"/>
          <w:u w:val="none"/>
        </w:rPr>
        <w:t>. Once confirmed, our fulfillment team will lock in the current inventory and start the packaging process immediately.</w:t>
      </w:r>
    </w:p>
    <w:p>
      <w:r>
        <w:rPr>
          <w:b w:val="0"/>
          <w:i w:val="0"/>
          <w:u w:val="none"/>
        </w:rPr>
        <w:t>Best regards,</w:t>
      </w:r>
    </w:p>
    <w:p>
      <w:r>
        <w:rPr>
          <w:b w:val="0"/>
          <w:i w:val="0"/>
          <w:u w:val="none"/>
        </w:rPr>
        <w:t>Equalang Team</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Fictional Demo Material - Not a Real Transaction</w:t>
    </w:r>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Equalang Team - Supply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Ceramic Products Supply and Shipping Confirmation</dc:title>
  <dc:subject/>
  <dc:creator>Equalang</dc:creator>
  <cp:keywords/>
  <dc:description/>
  <cp:lastModifiedBy>Equalang</cp:lastModifiedBy>
  <cp:revision>1</cp:revision>
  <dcterms:created xsi:type="dcterms:W3CDTF">2013-12-23T23:15:00Z</dcterms:created>
  <dcterms:modified xsi:type="dcterms:W3CDTF">2013-12-23T23:15:00Z</dcterms:modified>
  <cp:category/>
</cp:coreProperties>
</file>